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1F5ACA6A" w:rsidR="00FA20F7" w:rsidRPr="00611209" w:rsidRDefault="00752C50" w:rsidP="00FA20F7">
      <w:pPr>
        <w:pStyle w:val="3GPPHeader"/>
        <w:spacing w:after="0"/>
        <w:rPr>
          <w:szCs w:val="24"/>
          <w:lang w:val="en-US"/>
        </w:rPr>
      </w:pPr>
      <w:r w:rsidRPr="00611209">
        <w:rPr>
          <w:lang w:val="en-US"/>
        </w:rPr>
        <w:t>3GPP TSG-RAN WG1 Meeting</w:t>
      </w:r>
      <w:r w:rsidR="009C5948">
        <w:rPr>
          <w:lang w:val="en-US"/>
        </w:rPr>
        <w:t xml:space="preserve"> #86</w:t>
      </w:r>
      <w:r w:rsidR="00FA20F7" w:rsidRPr="00611209">
        <w:rPr>
          <w:lang w:val="en-US"/>
        </w:rPr>
        <w:tab/>
      </w:r>
      <w:r w:rsidR="005C37F3" w:rsidRPr="00611209">
        <w:rPr>
          <w:lang w:val="en-US"/>
        </w:rPr>
        <w:t>R1-</w:t>
      </w:r>
      <w:r w:rsidR="00737564" w:rsidRPr="00611209">
        <w:rPr>
          <w:lang w:val="en-US"/>
        </w:rPr>
        <w:t>1</w:t>
      </w:r>
      <w:r w:rsidR="008947E4" w:rsidRPr="00611209">
        <w:rPr>
          <w:lang w:val="en-US"/>
        </w:rPr>
        <w:t>6</w:t>
      </w:r>
      <w:r w:rsidR="00963E0D">
        <w:rPr>
          <w:lang w:val="en-US"/>
        </w:rPr>
        <w:t>7564</w:t>
      </w:r>
    </w:p>
    <w:p w14:paraId="231ECCBD" w14:textId="08721059" w:rsidR="00FA20F7" w:rsidRPr="00611209" w:rsidRDefault="009C5948" w:rsidP="00FA20F7">
      <w:pPr>
        <w:pStyle w:val="3GPPHeader"/>
        <w:rPr>
          <w:lang w:val="en-US"/>
        </w:rPr>
      </w:pPr>
      <w:r>
        <w:rPr>
          <w:lang w:val="en-US"/>
        </w:rPr>
        <w:t>Gothenburg</w:t>
      </w:r>
      <w:r w:rsidR="00611FDB" w:rsidRPr="00611209">
        <w:rPr>
          <w:lang w:val="en-US"/>
        </w:rPr>
        <w:t xml:space="preserve">, </w:t>
      </w:r>
      <w:r>
        <w:rPr>
          <w:lang w:val="en-US"/>
        </w:rPr>
        <w:t>Sweden</w:t>
      </w:r>
      <w:r w:rsidR="00611FDB" w:rsidRPr="00611209">
        <w:rPr>
          <w:lang w:val="en-US"/>
        </w:rPr>
        <w:t xml:space="preserve">, </w:t>
      </w:r>
      <w:r>
        <w:rPr>
          <w:lang w:val="en-US"/>
        </w:rPr>
        <w:t>22</w:t>
      </w:r>
      <w:r w:rsidRPr="009C5948">
        <w:rPr>
          <w:vertAlign w:val="superscript"/>
          <w:lang w:val="en-US"/>
        </w:rPr>
        <w:t>nd</w:t>
      </w:r>
      <w:r>
        <w:rPr>
          <w:lang w:val="en-US"/>
        </w:rPr>
        <w:t xml:space="preserve"> – 26</w:t>
      </w:r>
      <w:r w:rsidRPr="009C5948">
        <w:rPr>
          <w:vertAlign w:val="superscript"/>
          <w:lang w:val="en-US"/>
        </w:rPr>
        <w:t>th</w:t>
      </w:r>
      <w:r>
        <w:rPr>
          <w:lang w:val="en-US"/>
        </w:rPr>
        <w:t xml:space="preserve"> August</w:t>
      </w:r>
      <w:r w:rsidR="00737564" w:rsidRPr="00611209">
        <w:rPr>
          <w:lang w:val="en-US"/>
        </w:rPr>
        <w:t xml:space="preserve"> 2016</w:t>
      </w:r>
    </w:p>
    <w:p w14:paraId="6FA141D4" w14:textId="289D9B21" w:rsidR="00FA20F7" w:rsidRPr="00611209" w:rsidRDefault="00FA20F7" w:rsidP="00FA20F7">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E246F8" w:rsidRPr="00611209">
        <w:rPr>
          <w:rFonts w:ascii="Times New Roman" w:hAnsi="Times New Roman"/>
          <w:b/>
          <w:bCs/>
          <w:sz w:val="24"/>
          <w:lang w:val="en-US"/>
        </w:rPr>
        <w:t>8.</w:t>
      </w:r>
      <w:r w:rsidR="005D69BE">
        <w:rPr>
          <w:rFonts w:ascii="Times New Roman" w:hAnsi="Times New Roman"/>
          <w:b/>
          <w:bCs/>
          <w:sz w:val="24"/>
          <w:lang w:val="en-US"/>
        </w:rPr>
        <w:t>1.</w:t>
      </w:r>
      <w:r w:rsidR="00F65729">
        <w:rPr>
          <w:rFonts w:ascii="Times New Roman" w:hAnsi="Times New Roman"/>
          <w:b/>
          <w:bCs/>
          <w:sz w:val="24"/>
          <w:lang w:val="en-US"/>
        </w:rPr>
        <w:t>3</w:t>
      </w:r>
      <w:r w:rsidR="005D69BE">
        <w:rPr>
          <w:rFonts w:ascii="Times New Roman" w:hAnsi="Times New Roman"/>
          <w:b/>
          <w:bCs/>
          <w:sz w:val="24"/>
          <w:lang w:val="en-US"/>
        </w:rPr>
        <w:t>.</w:t>
      </w:r>
      <w:r w:rsidR="00F65729">
        <w:rPr>
          <w:rFonts w:ascii="Times New Roman" w:hAnsi="Times New Roman"/>
          <w:b/>
          <w:bCs/>
          <w:sz w:val="24"/>
          <w:lang w:val="en-US"/>
        </w:rPr>
        <w:t>1</w:t>
      </w:r>
    </w:p>
    <w:p w14:paraId="186753AF" w14:textId="0079F5E7" w:rsidR="00FA20F7" w:rsidRPr="00BD22FC" w:rsidRDefault="0092027E" w:rsidP="00FA20F7">
      <w:pPr>
        <w:tabs>
          <w:tab w:val="left" w:pos="1985"/>
        </w:tabs>
        <w:rPr>
          <w:b/>
          <w:bCs/>
          <w:sz w:val="24"/>
          <w:lang w:val="fr-CA"/>
        </w:rPr>
      </w:pPr>
      <w:r w:rsidRPr="00BD22FC">
        <w:rPr>
          <w:b/>
          <w:bCs/>
          <w:sz w:val="24"/>
          <w:lang w:val="fr-CA"/>
        </w:rPr>
        <w:t>Source:</w:t>
      </w:r>
      <w:r w:rsidRPr="00BD22FC">
        <w:rPr>
          <w:b/>
          <w:bCs/>
          <w:sz w:val="24"/>
          <w:lang w:val="fr-CA"/>
        </w:rPr>
        <w:tab/>
      </w:r>
      <w:proofErr w:type="spellStart"/>
      <w:r w:rsidRPr="00BD22FC">
        <w:rPr>
          <w:b/>
          <w:bCs/>
          <w:sz w:val="24"/>
          <w:lang w:val="fr-CA"/>
        </w:rPr>
        <w:t>InterDigital</w:t>
      </w:r>
      <w:proofErr w:type="spellEnd"/>
      <w:r w:rsidR="00E17A3B" w:rsidRPr="00BD22FC">
        <w:rPr>
          <w:b/>
          <w:bCs/>
          <w:sz w:val="24"/>
          <w:lang w:val="fr-CA"/>
        </w:rPr>
        <w:t xml:space="preserve"> Communications</w:t>
      </w:r>
    </w:p>
    <w:p w14:paraId="4F02292E" w14:textId="42D5186C"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1A0BF6">
        <w:rPr>
          <w:b/>
          <w:bCs/>
          <w:sz w:val="24"/>
          <w:lang w:val="en-US"/>
        </w:rPr>
        <w:t xml:space="preserve">Impact of numerology on </w:t>
      </w:r>
      <w:r w:rsidR="002C1C03">
        <w:rPr>
          <w:b/>
          <w:bCs/>
          <w:sz w:val="24"/>
          <w:lang w:val="en-US"/>
        </w:rPr>
        <w:t xml:space="preserve">the </w:t>
      </w:r>
      <w:r w:rsidR="001A0BF6">
        <w:rPr>
          <w:b/>
          <w:bCs/>
          <w:sz w:val="24"/>
          <w:lang w:val="en-US"/>
        </w:rPr>
        <w:t>non-CP based waveforms</w:t>
      </w:r>
    </w:p>
    <w:p w14:paraId="20F2A3ED" w14:textId="528D1F3A"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p>
    <w:p w14:paraId="45A92109" w14:textId="77777777" w:rsidR="00261A3A" w:rsidRPr="00DE1E23" w:rsidRDefault="00A35469" w:rsidP="00C34D28">
      <w:pPr>
        <w:pStyle w:val="Heading1"/>
        <w:rPr>
          <w:sz w:val="32"/>
          <w:szCs w:val="32"/>
        </w:rPr>
      </w:pPr>
      <w:r w:rsidRPr="00DE1E23">
        <w:rPr>
          <w:sz w:val="32"/>
          <w:szCs w:val="32"/>
        </w:rPr>
        <w:t>Introduction</w:t>
      </w:r>
    </w:p>
    <w:p w14:paraId="7D955FBF" w14:textId="32F651FF" w:rsidR="003559F5" w:rsidRDefault="003559F5" w:rsidP="004555E3">
      <w:pPr>
        <w:rPr>
          <w:szCs w:val="22"/>
        </w:rPr>
      </w:pPr>
      <w:r>
        <w:rPr>
          <w:szCs w:val="22"/>
        </w:rPr>
        <w:t>Numerology for NR was discussed in RAN1#84bis and RAN1#85. The following agreements were made</w:t>
      </w:r>
      <w:r w:rsidR="00D40532">
        <w:rPr>
          <w:szCs w:val="22"/>
        </w:rPr>
        <w:t xml:space="preserve"> </w:t>
      </w:r>
      <w:r w:rsidR="00D40532">
        <w:rPr>
          <w:szCs w:val="22"/>
        </w:rPr>
        <w:fldChar w:fldCharType="begin"/>
      </w:r>
      <w:r w:rsidR="00D40532">
        <w:rPr>
          <w:szCs w:val="22"/>
        </w:rPr>
        <w:instrText xml:space="preserve"> REF _Ref457542852 \r \h </w:instrText>
      </w:r>
      <w:r w:rsidR="00D40532">
        <w:rPr>
          <w:szCs w:val="22"/>
        </w:rPr>
      </w:r>
      <w:r w:rsidR="00D40532">
        <w:rPr>
          <w:szCs w:val="22"/>
        </w:rPr>
        <w:fldChar w:fldCharType="separate"/>
      </w:r>
      <w:r w:rsidR="00D40532">
        <w:rPr>
          <w:szCs w:val="22"/>
        </w:rPr>
        <w:t>[1</w:t>
      </w:r>
      <w:proofErr w:type="gramStart"/>
      <w:r w:rsidR="00D40532">
        <w:rPr>
          <w:szCs w:val="22"/>
        </w:rPr>
        <w:t>]</w:t>
      </w:r>
      <w:proofErr w:type="gramEnd"/>
      <w:r w:rsidR="00D40532">
        <w:rPr>
          <w:szCs w:val="22"/>
        </w:rPr>
        <w:fldChar w:fldCharType="end"/>
      </w:r>
      <w:r w:rsidR="00D40532">
        <w:rPr>
          <w:szCs w:val="22"/>
        </w:rPr>
        <w:fldChar w:fldCharType="begin"/>
      </w:r>
      <w:r w:rsidR="00D40532">
        <w:rPr>
          <w:szCs w:val="22"/>
        </w:rPr>
        <w:instrText xml:space="preserve"> REF _Ref457542858 \r \h </w:instrText>
      </w:r>
      <w:r w:rsidR="00D40532">
        <w:rPr>
          <w:szCs w:val="22"/>
        </w:rPr>
      </w:r>
      <w:r w:rsidR="00D40532">
        <w:rPr>
          <w:szCs w:val="22"/>
        </w:rPr>
        <w:fldChar w:fldCharType="separate"/>
      </w:r>
      <w:r w:rsidR="00D40532">
        <w:rPr>
          <w:szCs w:val="22"/>
        </w:rPr>
        <w:t>[2]</w:t>
      </w:r>
      <w:r w:rsidR="00D40532">
        <w:rPr>
          <w:szCs w:val="22"/>
        </w:rPr>
        <w:fldChar w:fldCharType="end"/>
      </w:r>
      <w:r>
        <w:rPr>
          <w:szCs w:val="22"/>
        </w:rPr>
        <w:t>:</w:t>
      </w:r>
    </w:p>
    <w:tbl>
      <w:tblPr>
        <w:tblStyle w:val="TableGrid"/>
        <w:tblW w:w="0" w:type="auto"/>
        <w:tblLook w:val="04A0" w:firstRow="1" w:lastRow="0" w:firstColumn="1" w:lastColumn="0" w:noHBand="0" w:noVBand="1"/>
      </w:tblPr>
      <w:tblGrid>
        <w:gridCol w:w="9629"/>
      </w:tblGrid>
      <w:tr w:rsidR="003559F5" w14:paraId="5372C2DA" w14:textId="77777777" w:rsidTr="003559F5">
        <w:tc>
          <w:tcPr>
            <w:tcW w:w="9629" w:type="dxa"/>
          </w:tcPr>
          <w:p w14:paraId="2AC187FD" w14:textId="77777777" w:rsidR="003559F5" w:rsidRPr="00F84E2D" w:rsidRDefault="003559F5" w:rsidP="003559F5">
            <w:pPr>
              <w:rPr>
                <w:rFonts w:eastAsia="MS Mincho"/>
                <w:b/>
                <w:i/>
                <w:u w:val="single"/>
                <w:lang w:val="en-US" w:eastAsia="ja-JP"/>
              </w:rPr>
            </w:pPr>
            <w:r w:rsidRPr="00F84E2D">
              <w:rPr>
                <w:rFonts w:eastAsia="MS Mincho"/>
                <w:b/>
                <w:i/>
                <w:u w:val="single"/>
                <w:lang w:val="en-US" w:eastAsia="ja-JP"/>
              </w:rPr>
              <w:t>Agreements:</w:t>
            </w:r>
          </w:p>
          <w:p w14:paraId="5D8AC89B" w14:textId="77777777" w:rsidR="003559F5" w:rsidRPr="00F84E2D" w:rsidRDefault="003559F5" w:rsidP="003559F5">
            <w:pPr>
              <w:numPr>
                <w:ilvl w:val="0"/>
                <w:numId w:val="21"/>
              </w:numPr>
              <w:overflowPunct/>
              <w:autoSpaceDE/>
              <w:autoSpaceDN/>
              <w:adjustRightInd/>
              <w:spacing w:after="0"/>
              <w:jc w:val="left"/>
              <w:textAlignment w:val="auto"/>
              <w:rPr>
                <w:rFonts w:eastAsia="MS Mincho"/>
                <w:i/>
                <w:lang w:val="en-US" w:eastAsia="ja-JP"/>
              </w:rPr>
            </w:pPr>
            <w:r w:rsidRPr="00F84E2D">
              <w:rPr>
                <w:rFonts w:eastAsia="MS Mincho"/>
                <w:i/>
                <w:lang w:eastAsia="ja-JP"/>
              </w:rPr>
              <w:t>For NR, it is necessary to support more than one values of subcarrier-spacing</w:t>
            </w:r>
          </w:p>
          <w:p w14:paraId="303EB807" w14:textId="77777777" w:rsidR="003559F5" w:rsidRPr="00F84E2D" w:rsidRDefault="003559F5" w:rsidP="003559F5">
            <w:pPr>
              <w:numPr>
                <w:ilvl w:val="1"/>
                <w:numId w:val="21"/>
              </w:numPr>
              <w:overflowPunct/>
              <w:autoSpaceDE/>
              <w:autoSpaceDN/>
              <w:adjustRightInd/>
              <w:spacing w:after="0"/>
              <w:jc w:val="left"/>
              <w:textAlignment w:val="auto"/>
              <w:rPr>
                <w:rFonts w:eastAsia="MS Mincho"/>
                <w:i/>
                <w:lang w:val="en-US" w:eastAsia="ja-JP"/>
              </w:rPr>
            </w:pPr>
            <w:r w:rsidRPr="00F84E2D">
              <w:rPr>
                <w:rFonts w:eastAsia="MS Mincho"/>
                <w:i/>
                <w:lang w:val="en-US" w:eastAsia="ja-JP"/>
              </w:rPr>
              <w:t>V</w:t>
            </w:r>
            <w:proofErr w:type="spellStart"/>
            <w:r w:rsidRPr="00F84E2D">
              <w:rPr>
                <w:rFonts w:eastAsia="MS Mincho"/>
                <w:i/>
                <w:lang w:eastAsia="ja-JP"/>
              </w:rPr>
              <w:t>alues</w:t>
            </w:r>
            <w:proofErr w:type="spellEnd"/>
            <w:r w:rsidRPr="00F84E2D">
              <w:rPr>
                <w:rFonts w:eastAsia="MS Mincho"/>
                <w:i/>
                <w:lang w:eastAsia="ja-JP"/>
              </w:rPr>
              <w:t xml:space="preserve"> of subcarrier-spacing are derived from a particular value of subcarrier-spacing multiplied by N where N is an integer</w:t>
            </w:r>
          </w:p>
          <w:p w14:paraId="7126B696" w14:textId="77777777" w:rsidR="003559F5" w:rsidRPr="00F84E2D" w:rsidRDefault="003559F5" w:rsidP="003559F5">
            <w:pPr>
              <w:numPr>
                <w:ilvl w:val="2"/>
                <w:numId w:val="21"/>
              </w:numPr>
              <w:overflowPunct/>
              <w:autoSpaceDE/>
              <w:autoSpaceDN/>
              <w:adjustRightInd/>
              <w:spacing w:after="0"/>
              <w:jc w:val="left"/>
              <w:textAlignment w:val="auto"/>
              <w:rPr>
                <w:rFonts w:eastAsia="MS Mincho"/>
                <w:i/>
                <w:lang w:val="en-US" w:eastAsia="ja-JP"/>
              </w:rPr>
            </w:pPr>
            <w:r w:rsidRPr="00F84E2D">
              <w:rPr>
                <w:rFonts w:eastAsia="MS Mincho"/>
                <w:i/>
                <w:lang w:val="en-US" w:eastAsia="ja-JP"/>
              </w:rPr>
              <w:t>Alt.1: Subcarrier-spacing values include 15 kHz subcarrier-spacing (i.e., LTE based numerology)</w:t>
            </w:r>
          </w:p>
          <w:p w14:paraId="753794B8" w14:textId="77777777" w:rsidR="003559F5" w:rsidRPr="00F84E2D" w:rsidRDefault="003559F5" w:rsidP="003559F5">
            <w:pPr>
              <w:numPr>
                <w:ilvl w:val="2"/>
                <w:numId w:val="21"/>
              </w:numPr>
              <w:overflowPunct/>
              <w:autoSpaceDE/>
              <w:autoSpaceDN/>
              <w:adjustRightInd/>
              <w:spacing w:after="0"/>
              <w:jc w:val="left"/>
              <w:textAlignment w:val="auto"/>
              <w:rPr>
                <w:rFonts w:eastAsia="MS Mincho"/>
                <w:i/>
                <w:lang w:val="en-US" w:eastAsia="ja-JP"/>
              </w:rPr>
            </w:pPr>
            <w:r w:rsidRPr="00F84E2D">
              <w:rPr>
                <w:rFonts w:eastAsia="MS Mincho"/>
                <w:i/>
                <w:lang w:val="en-US" w:eastAsia="ja-JP"/>
              </w:rPr>
              <w:t>Alt.2: Subcarrier-spacing values include 17.5 kHz subcarrier-spacing with uniform symbol duration including CP length</w:t>
            </w:r>
          </w:p>
          <w:p w14:paraId="70515D56" w14:textId="77777777" w:rsidR="003559F5" w:rsidRPr="00F84E2D" w:rsidRDefault="003559F5" w:rsidP="003559F5">
            <w:pPr>
              <w:numPr>
                <w:ilvl w:val="2"/>
                <w:numId w:val="21"/>
              </w:numPr>
              <w:overflowPunct/>
              <w:autoSpaceDE/>
              <w:autoSpaceDN/>
              <w:adjustRightInd/>
              <w:spacing w:after="0"/>
              <w:jc w:val="left"/>
              <w:textAlignment w:val="auto"/>
              <w:rPr>
                <w:rFonts w:eastAsia="MS Mincho"/>
                <w:i/>
                <w:lang w:val="en-US" w:eastAsia="ja-JP"/>
              </w:rPr>
            </w:pPr>
            <w:r w:rsidRPr="00F84E2D">
              <w:rPr>
                <w:rFonts w:eastAsia="MS Mincho"/>
                <w:i/>
                <w:lang w:val="en-US" w:eastAsia="ja-JP"/>
              </w:rPr>
              <w:t>Alt.3: Subcarrier-spacing values include 17.06 kHz subcarrier-spacing with uniform symbol duration including CP length</w:t>
            </w:r>
          </w:p>
          <w:p w14:paraId="7C76AE3D" w14:textId="77777777" w:rsidR="003559F5" w:rsidRPr="00F84E2D" w:rsidRDefault="003559F5" w:rsidP="003559F5">
            <w:pPr>
              <w:numPr>
                <w:ilvl w:val="2"/>
                <w:numId w:val="21"/>
              </w:numPr>
              <w:overflowPunct/>
              <w:autoSpaceDE/>
              <w:autoSpaceDN/>
              <w:adjustRightInd/>
              <w:spacing w:after="0"/>
              <w:jc w:val="left"/>
              <w:textAlignment w:val="auto"/>
              <w:rPr>
                <w:rFonts w:eastAsia="MS Mincho"/>
                <w:i/>
                <w:lang w:val="en-US" w:eastAsia="ja-JP"/>
              </w:rPr>
            </w:pPr>
            <w:r w:rsidRPr="00F84E2D">
              <w:rPr>
                <w:rFonts w:eastAsia="MS Mincho"/>
                <w:i/>
                <w:lang w:val="en-US" w:eastAsia="ja-JP"/>
              </w:rPr>
              <w:t>Alt.4: Subcarrier-spacing values 21.33 kHz</w:t>
            </w:r>
          </w:p>
          <w:p w14:paraId="65FCE9B4" w14:textId="77777777" w:rsidR="003559F5" w:rsidRPr="00F84E2D" w:rsidRDefault="003559F5" w:rsidP="003559F5">
            <w:pPr>
              <w:numPr>
                <w:ilvl w:val="2"/>
                <w:numId w:val="21"/>
              </w:numPr>
              <w:overflowPunct/>
              <w:autoSpaceDE/>
              <w:autoSpaceDN/>
              <w:adjustRightInd/>
              <w:spacing w:after="0"/>
              <w:jc w:val="left"/>
              <w:textAlignment w:val="auto"/>
              <w:rPr>
                <w:rFonts w:eastAsia="MS Mincho"/>
                <w:i/>
                <w:lang w:val="en-US" w:eastAsia="ja-JP"/>
              </w:rPr>
            </w:pPr>
            <w:r w:rsidRPr="00F84E2D">
              <w:rPr>
                <w:rFonts w:eastAsia="MS Mincho"/>
                <w:i/>
                <w:lang w:val="en-US" w:eastAsia="ja-JP"/>
              </w:rPr>
              <w:t>Note: other alternatives are not precluded</w:t>
            </w:r>
          </w:p>
          <w:p w14:paraId="329E7888" w14:textId="77777777" w:rsidR="003559F5" w:rsidRPr="00F84E2D" w:rsidRDefault="003559F5" w:rsidP="003559F5">
            <w:pPr>
              <w:numPr>
                <w:ilvl w:val="2"/>
                <w:numId w:val="21"/>
              </w:numPr>
              <w:overflowPunct/>
              <w:autoSpaceDE/>
              <w:autoSpaceDN/>
              <w:adjustRightInd/>
              <w:spacing w:after="0"/>
              <w:jc w:val="left"/>
              <w:textAlignment w:val="auto"/>
              <w:rPr>
                <w:rFonts w:eastAsia="MS Mincho"/>
                <w:i/>
                <w:lang w:val="en-US" w:eastAsia="ja-JP"/>
              </w:rPr>
            </w:pPr>
            <w:r w:rsidRPr="00F84E2D">
              <w:rPr>
                <w:rFonts w:eastAsia="MS Mincho"/>
                <w:i/>
                <w:lang w:eastAsia="ja-JP"/>
              </w:rPr>
              <w:t>FFS: exact value of a particular value and possible values of N</w:t>
            </w:r>
          </w:p>
          <w:p w14:paraId="0482C098" w14:textId="77777777" w:rsidR="003559F5" w:rsidRPr="00F84E2D" w:rsidRDefault="003559F5" w:rsidP="003559F5">
            <w:pPr>
              <w:numPr>
                <w:ilvl w:val="1"/>
                <w:numId w:val="21"/>
              </w:numPr>
              <w:overflowPunct/>
              <w:autoSpaceDE/>
              <w:autoSpaceDN/>
              <w:adjustRightInd/>
              <w:spacing w:after="0"/>
              <w:jc w:val="left"/>
              <w:textAlignment w:val="auto"/>
              <w:rPr>
                <w:rFonts w:eastAsia="MS Mincho"/>
                <w:i/>
                <w:lang w:val="en-US" w:eastAsia="ja-JP"/>
              </w:rPr>
            </w:pPr>
            <w:r w:rsidRPr="00F84E2D">
              <w:rPr>
                <w:rFonts w:eastAsia="MS Mincho"/>
                <w:i/>
                <w:lang w:eastAsia="ja-JP"/>
              </w:rPr>
              <w:t>The values of possible subcarrier-spacing will be further narrowed-down in RAN1#85</w:t>
            </w:r>
          </w:p>
          <w:p w14:paraId="7D779157" w14:textId="77777777" w:rsidR="003559F5" w:rsidRPr="00F84E2D" w:rsidRDefault="003559F5" w:rsidP="004555E3">
            <w:pPr>
              <w:rPr>
                <w:i/>
                <w:szCs w:val="22"/>
                <w:lang w:val="en-US"/>
              </w:rPr>
            </w:pPr>
          </w:p>
          <w:p w14:paraId="51E0F712" w14:textId="77777777" w:rsidR="003559F5" w:rsidRPr="00F84E2D" w:rsidRDefault="003559F5" w:rsidP="003559F5">
            <w:pPr>
              <w:overflowPunct/>
              <w:autoSpaceDE/>
              <w:autoSpaceDN/>
              <w:adjustRightInd/>
              <w:spacing w:after="0"/>
              <w:jc w:val="left"/>
              <w:textAlignment w:val="auto"/>
              <w:rPr>
                <w:rFonts w:ascii="Times" w:eastAsia="MS Mincho" w:hAnsi="Times"/>
                <w:b/>
                <w:i/>
                <w:sz w:val="20"/>
                <w:szCs w:val="24"/>
                <w:u w:val="single"/>
                <w:lang w:eastAsia="ja-JP"/>
              </w:rPr>
            </w:pPr>
            <w:r w:rsidRPr="00F84E2D">
              <w:rPr>
                <w:rFonts w:ascii="Times" w:eastAsia="MS Mincho" w:hAnsi="Times"/>
                <w:b/>
                <w:i/>
                <w:sz w:val="20"/>
                <w:szCs w:val="24"/>
                <w:u w:val="single"/>
                <w:lang w:eastAsia="ja-JP"/>
              </w:rPr>
              <w:t>Working assumptions:</w:t>
            </w:r>
          </w:p>
          <w:p w14:paraId="3E735E62" w14:textId="77777777" w:rsidR="003559F5" w:rsidRPr="00F84E2D" w:rsidRDefault="003559F5" w:rsidP="003559F5">
            <w:pPr>
              <w:numPr>
                <w:ilvl w:val="0"/>
                <w:numId w:val="21"/>
              </w:numPr>
              <w:overflowPunct/>
              <w:autoSpaceDE/>
              <w:autoSpaceDN/>
              <w:adjustRightInd/>
              <w:spacing w:after="0"/>
              <w:jc w:val="left"/>
              <w:textAlignment w:val="auto"/>
              <w:rPr>
                <w:rFonts w:ascii="Times" w:eastAsia="Batang" w:hAnsi="Times"/>
                <w:i/>
                <w:sz w:val="20"/>
                <w:szCs w:val="24"/>
                <w:lang w:eastAsia="en-US"/>
              </w:rPr>
            </w:pPr>
            <w:r w:rsidRPr="00F84E2D">
              <w:rPr>
                <w:rFonts w:ascii="Times" w:eastAsia="Batang" w:hAnsi="Times"/>
                <w:i/>
                <w:sz w:val="20"/>
                <w:szCs w:val="24"/>
                <w:lang w:eastAsia="en-US"/>
              </w:rPr>
              <w:t xml:space="preserve">RAN1 concludes on alternative 1 (15 kHz) as the baseline </w:t>
            </w:r>
            <w:r w:rsidRPr="00F84E2D">
              <w:rPr>
                <w:rFonts w:ascii="Times" w:eastAsia="MS Mincho" w:hAnsi="Times"/>
                <w:i/>
                <w:sz w:val="20"/>
                <w:szCs w:val="24"/>
                <w:lang w:eastAsia="ja-JP"/>
              </w:rPr>
              <w:t xml:space="preserve">design assumption </w:t>
            </w:r>
            <w:r w:rsidRPr="00F84E2D">
              <w:rPr>
                <w:rFonts w:ascii="Times" w:eastAsia="Batang" w:hAnsi="Times"/>
                <w:i/>
                <w:sz w:val="20"/>
                <w:szCs w:val="24"/>
                <w:lang w:eastAsia="en-US"/>
              </w:rPr>
              <w:t>for the NR numerology</w:t>
            </w:r>
          </w:p>
          <w:p w14:paraId="73A896BE" w14:textId="32A4E752" w:rsidR="003559F5" w:rsidRPr="00F84E2D" w:rsidRDefault="003559F5" w:rsidP="003559F5">
            <w:pPr>
              <w:numPr>
                <w:ilvl w:val="0"/>
                <w:numId w:val="21"/>
              </w:numPr>
              <w:overflowPunct/>
              <w:autoSpaceDE/>
              <w:autoSpaceDN/>
              <w:adjustRightInd/>
              <w:spacing w:after="0"/>
              <w:jc w:val="left"/>
              <w:textAlignment w:val="auto"/>
              <w:rPr>
                <w:rFonts w:ascii="Times" w:eastAsia="Batang" w:hAnsi="Times"/>
                <w:i/>
                <w:sz w:val="20"/>
                <w:szCs w:val="24"/>
                <w:lang w:eastAsia="en-US"/>
              </w:rPr>
            </w:pPr>
            <w:r w:rsidRPr="00F84E2D">
              <w:rPr>
                <w:rFonts w:ascii="Times" w:eastAsia="Batang" w:hAnsi="Times"/>
                <w:i/>
                <w:sz w:val="20"/>
                <w:szCs w:val="24"/>
                <w:lang w:eastAsia="en-US"/>
              </w:rPr>
              <w:t>RAN1 concludes on scale factors N =2</w:t>
            </w:r>
            <w:r w:rsidRPr="00F84E2D">
              <w:rPr>
                <w:rFonts w:ascii="Times" w:eastAsia="Batang" w:hAnsi="Times"/>
                <w:i/>
                <w:sz w:val="20"/>
                <w:szCs w:val="24"/>
                <w:vertAlign w:val="superscript"/>
                <w:lang w:eastAsia="en-US"/>
              </w:rPr>
              <w:t>n</w:t>
            </w:r>
            <w:r w:rsidRPr="00F84E2D">
              <w:rPr>
                <w:rFonts w:ascii="Times" w:eastAsia="Batang" w:hAnsi="Times"/>
                <w:i/>
                <w:sz w:val="20"/>
                <w:szCs w:val="24"/>
                <w:lang w:eastAsia="en-US"/>
              </w:rPr>
              <w:t xml:space="preserve"> </w:t>
            </w:r>
            <w:r w:rsidRPr="00F84E2D">
              <w:rPr>
                <w:rFonts w:ascii="Times" w:eastAsia="MS Mincho" w:hAnsi="Times"/>
                <w:i/>
                <w:sz w:val="20"/>
                <w:szCs w:val="24"/>
                <w:lang w:eastAsia="ja-JP"/>
              </w:rPr>
              <w:t xml:space="preserve">for subcarrier spacing </w:t>
            </w:r>
            <w:r w:rsidRPr="00F84E2D">
              <w:rPr>
                <w:rFonts w:ascii="Times" w:eastAsia="Batang" w:hAnsi="Times"/>
                <w:i/>
                <w:sz w:val="20"/>
                <w:szCs w:val="24"/>
                <w:lang w:eastAsia="en-US"/>
              </w:rPr>
              <w:t xml:space="preserve">as the baseline </w:t>
            </w:r>
            <w:r w:rsidRPr="00F84E2D">
              <w:rPr>
                <w:rFonts w:ascii="Times" w:eastAsia="MS Mincho" w:hAnsi="Times"/>
                <w:i/>
                <w:sz w:val="20"/>
                <w:szCs w:val="24"/>
                <w:lang w:eastAsia="ja-JP"/>
              </w:rPr>
              <w:t xml:space="preserve">design assumption </w:t>
            </w:r>
            <w:r w:rsidRPr="00F84E2D">
              <w:rPr>
                <w:rFonts w:ascii="Times" w:eastAsia="Batang" w:hAnsi="Times"/>
                <w:i/>
                <w:sz w:val="20"/>
                <w:szCs w:val="24"/>
                <w:lang w:eastAsia="en-US"/>
              </w:rPr>
              <w:t>for the NR numerology</w:t>
            </w:r>
            <w:r w:rsidRPr="00F84E2D">
              <w:rPr>
                <w:rFonts w:ascii="Times" w:eastAsia="Batang" w:hAnsi="Times"/>
                <w:i/>
                <w:sz w:val="20"/>
                <w:szCs w:val="24"/>
                <w:lang w:eastAsia="en-US"/>
              </w:rPr>
              <w:br/>
            </w:r>
          </w:p>
          <w:p w14:paraId="489FB8A2" w14:textId="77777777" w:rsidR="003559F5" w:rsidRPr="00F84E2D" w:rsidRDefault="003559F5" w:rsidP="003559F5">
            <w:pPr>
              <w:rPr>
                <w:rFonts w:eastAsia="MS Mincho"/>
                <w:b/>
                <w:i/>
                <w:u w:val="single"/>
                <w:lang w:eastAsia="ja-JP"/>
              </w:rPr>
            </w:pPr>
            <w:r w:rsidRPr="00F84E2D">
              <w:rPr>
                <w:rFonts w:eastAsia="MS Mincho"/>
                <w:b/>
                <w:i/>
                <w:u w:val="single"/>
                <w:lang w:eastAsia="ja-JP"/>
              </w:rPr>
              <w:t>Working assumption:</w:t>
            </w:r>
          </w:p>
          <w:p w14:paraId="327AF94B" w14:textId="77777777" w:rsidR="003559F5" w:rsidRPr="00F84E2D" w:rsidRDefault="003559F5" w:rsidP="003559F5">
            <w:pPr>
              <w:numPr>
                <w:ilvl w:val="0"/>
                <w:numId w:val="21"/>
              </w:numPr>
              <w:overflowPunct/>
              <w:autoSpaceDE/>
              <w:autoSpaceDN/>
              <w:adjustRightInd/>
              <w:spacing w:after="0"/>
              <w:jc w:val="left"/>
              <w:textAlignment w:val="auto"/>
              <w:rPr>
                <w:rFonts w:eastAsia="MS Mincho"/>
                <w:i/>
                <w:lang w:val="en-US" w:eastAsia="ja-JP"/>
              </w:rPr>
            </w:pPr>
            <w:r w:rsidRPr="00F84E2D">
              <w:rPr>
                <w:rFonts w:eastAsia="MS Mincho"/>
                <w:i/>
                <w:lang w:val="en-US" w:eastAsia="ja-JP"/>
              </w:rPr>
              <w:t>In the case of subcarrier spacing 15 kHz and 14 symbols per 1ms, the following applies:</w:t>
            </w:r>
          </w:p>
          <w:p w14:paraId="353ECBF9" w14:textId="3B5E1ED0" w:rsidR="003559F5" w:rsidRPr="00F84E2D" w:rsidRDefault="003559F5" w:rsidP="00F84E2D">
            <w:pPr>
              <w:numPr>
                <w:ilvl w:val="1"/>
                <w:numId w:val="21"/>
              </w:numPr>
              <w:overflowPunct/>
              <w:autoSpaceDE/>
              <w:autoSpaceDN/>
              <w:adjustRightInd/>
              <w:spacing w:after="0"/>
              <w:jc w:val="left"/>
              <w:textAlignment w:val="auto"/>
              <w:rPr>
                <w:rFonts w:eastAsia="MS Mincho"/>
                <w:i/>
                <w:lang w:val="en-US" w:eastAsia="ja-JP"/>
              </w:rPr>
            </w:pPr>
            <w:r w:rsidRPr="00F84E2D">
              <w:rPr>
                <w:rFonts w:eastAsia="MS Mincho"/>
                <w:i/>
                <w:lang w:val="en-US" w:eastAsia="ja-JP"/>
              </w:rPr>
              <w:t>Baseline: Symbol boundary is aligned with LTE of normal CP</w:t>
            </w:r>
          </w:p>
          <w:p w14:paraId="4523E0AE" w14:textId="77777777" w:rsidR="003559F5" w:rsidRPr="00F84E2D" w:rsidRDefault="003559F5" w:rsidP="003559F5">
            <w:pPr>
              <w:rPr>
                <w:rFonts w:eastAsia="MS Mincho"/>
                <w:b/>
                <w:i/>
                <w:u w:val="single"/>
                <w:lang w:val="en-US" w:eastAsia="ja-JP"/>
              </w:rPr>
            </w:pPr>
            <w:r w:rsidRPr="00F84E2D">
              <w:rPr>
                <w:rFonts w:eastAsia="MS Mincho"/>
                <w:b/>
                <w:i/>
                <w:u w:val="single"/>
                <w:lang w:val="en-US" w:eastAsia="ja-JP"/>
              </w:rPr>
              <w:t>Agreements:</w:t>
            </w:r>
          </w:p>
          <w:p w14:paraId="7B4B0C14" w14:textId="34D8F65B" w:rsidR="003559F5" w:rsidRPr="00F84E2D" w:rsidRDefault="003559F5" w:rsidP="003559F5">
            <w:pPr>
              <w:numPr>
                <w:ilvl w:val="0"/>
                <w:numId w:val="21"/>
              </w:numPr>
              <w:overflowPunct/>
              <w:autoSpaceDE/>
              <w:autoSpaceDN/>
              <w:adjustRightInd/>
              <w:spacing w:after="0"/>
              <w:jc w:val="left"/>
              <w:textAlignment w:val="auto"/>
              <w:rPr>
                <w:rFonts w:eastAsia="MS Mincho"/>
                <w:lang w:val="en-US" w:eastAsia="ja-JP"/>
              </w:rPr>
            </w:pPr>
            <w:r w:rsidRPr="00F84E2D">
              <w:rPr>
                <w:rFonts w:eastAsia="MS Mincho"/>
                <w:i/>
                <w:lang w:val="en-US" w:eastAsia="ja-JP"/>
              </w:rPr>
              <w:t>For the numerology with 15 kHz and larger subcarrier spacing ,1 msec alignment is supported</w:t>
            </w:r>
          </w:p>
          <w:p w14:paraId="72FC4868" w14:textId="77777777" w:rsidR="003559F5" w:rsidRPr="003559F5" w:rsidRDefault="003559F5" w:rsidP="004555E3">
            <w:pPr>
              <w:rPr>
                <w:szCs w:val="22"/>
              </w:rPr>
            </w:pPr>
          </w:p>
        </w:tc>
      </w:tr>
    </w:tbl>
    <w:p w14:paraId="1AB2A1D1" w14:textId="77777777" w:rsidR="004A76A0" w:rsidRDefault="004A76A0" w:rsidP="004555E3">
      <w:pPr>
        <w:rPr>
          <w:szCs w:val="22"/>
        </w:rPr>
      </w:pPr>
    </w:p>
    <w:p w14:paraId="3153A839" w14:textId="1E9BBEB6" w:rsidR="00F74392" w:rsidRDefault="00A32139" w:rsidP="004555E3">
      <w:pPr>
        <w:rPr>
          <w:szCs w:val="22"/>
        </w:rPr>
      </w:pPr>
      <w:r>
        <w:rPr>
          <w:szCs w:val="22"/>
        </w:rPr>
        <w:t>It is noted that t</w:t>
      </w:r>
      <w:r w:rsidR="004A76A0">
        <w:rPr>
          <w:szCs w:val="22"/>
        </w:rPr>
        <w:t xml:space="preserve">he above </w:t>
      </w:r>
      <w:r>
        <w:rPr>
          <w:szCs w:val="22"/>
        </w:rPr>
        <w:t xml:space="preserve">set of </w:t>
      </w:r>
      <w:r w:rsidR="004A76A0">
        <w:rPr>
          <w:szCs w:val="22"/>
        </w:rPr>
        <w:t>agreements and working assumptions refer to “LTE based numerology”</w:t>
      </w:r>
      <w:r>
        <w:rPr>
          <w:szCs w:val="22"/>
        </w:rPr>
        <w:t xml:space="preserve"> which may be interpreted not only as a sub-carrier spacing value of 15 kHz but also a set o</w:t>
      </w:r>
      <w:r w:rsidR="00F74392">
        <w:rPr>
          <w:szCs w:val="22"/>
        </w:rPr>
        <w:t xml:space="preserve">f CP durations for each symbol. There was no discussion on the applicability of the above if a waveform not using a CP, such as ZT DFT-S-OFDM, GT DFT-S-OFDM or UW DFT-S-OFDM, is introduced for NR. </w:t>
      </w:r>
    </w:p>
    <w:p w14:paraId="49F413FD" w14:textId="09FE525F" w:rsidR="00A32139" w:rsidRDefault="00F74392" w:rsidP="004555E3">
      <w:pPr>
        <w:rPr>
          <w:szCs w:val="22"/>
        </w:rPr>
      </w:pPr>
      <w:r>
        <w:rPr>
          <w:szCs w:val="22"/>
        </w:rPr>
        <w:t>This contribution describes an issue with the above set of agreements and working assumptions when using a waveform not using a CP, and proposes a way forward.</w:t>
      </w:r>
    </w:p>
    <w:p w14:paraId="12579F8C" w14:textId="0C05E4B6" w:rsidR="00FA007C" w:rsidRPr="007A7217" w:rsidRDefault="00FA007C" w:rsidP="004E1513">
      <w:pPr>
        <w:rPr>
          <w:szCs w:val="22"/>
        </w:rPr>
      </w:pPr>
    </w:p>
    <w:p w14:paraId="411E7BBD" w14:textId="74D18036" w:rsidR="00085A01" w:rsidRPr="00DE1E23" w:rsidRDefault="00BC7BCF" w:rsidP="00BC7BCF">
      <w:pPr>
        <w:pStyle w:val="Heading1"/>
        <w:rPr>
          <w:sz w:val="32"/>
          <w:szCs w:val="32"/>
          <w:lang w:val="en-US"/>
        </w:rPr>
      </w:pPr>
      <w:r>
        <w:rPr>
          <w:sz w:val="32"/>
          <w:szCs w:val="32"/>
        </w:rPr>
        <w:lastRenderedPageBreak/>
        <w:t xml:space="preserve">Symbol boundary alignment </w:t>
      </w:r>
      <w:r w:rsidR="00B704E0">
        <w:rPr>
          <w:sz w:val="32"/>
          <w:szCs w:val="32"/>
        </w:rPr>
        <w:t>with non CP waveforms</w:t>
      </w:r>
    </w:p>
    <w:p w14:paraId="7F3E0066" w14:textId="58F2B498" w:rsidR="002A34B7" w:rsidRDefault="00E44E9C" w:rsidP="00844BD5">
      <w:pPr>
        <w:rPr>
          <w:szCs w:val="22"/>
        </w:rPr>
      </w:pPr>
      <w:r>
        <w:rPr>
          <w:szCs w:val="22"/>
        </w:rPr>
        <w:t xml:space="preserve">For CP-based waveforms, </w:t>
      </w:r>
      <w:r w:rsidR="008D228F">
        <w:rPr>
          <w:szCs w:val="22"/>
        </w:rPr>
        <w:t xml:space="preserve">symbol duration is a function of both subcarrier spacing and </w:t>
      </w:r>
      <w:r w:rsidR="002A34B7">
        <w:rPr>
          <w:szCs w:val="22"/>
        </w:rPr>
        <w:t>the CP length:</w:t>
      </w:r>
      <w:r w:rsidR="008D228F">
        <w:rPr>
          <w:szCs w:val="22"/>
        </w:rPr>
        <w:t xml:space="preserve"> </w:t>
      </w:r>
    </w:p>
    <w:p w14:paraId="5679685C" w14:textId="318A4181" w:rsidR="002A34B7" w:rsidRDefault="003816F8" w:rsidP="00844BD5">
      <w:pPr>
        <w:rPr>
          <w:szCs w:val="22"/>
        </w:rPr>
      </w:pPr>
      <m:oMathPara>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CP-based</m:t>
              </m:r>
            </m:sub>
          </m:sSub>
          <m:r>
            <w:rPr>
              <w:rFonts w:ascii="Cambria Math" w:hAnsi="Cambria Math"/>
              <w:szCs w:val="22"/>
            </w:rPr>
            <m:t xml:space="preserve">= </m:t>
          </m:r>
          <m:f>
            <m:fPr>
              <m:ctrlPr>
                <w:rPr>
                  <w:rFonts w:ascii="Cambria Math" w:hAnsi="Cambria Math"/>
                  <w:i/>
                  <w:szCs w:val="22"/>
                </w:rPr>
              </m:ctrlPr>
            </m:fPr>
            <m:num>
              <m:r>
                <w:rPr>
                  <w:rFonts w:ascii="Cambria Math" w:hAnsi="Cambria Math"/>
                  <w:szCs w:val="22"/>
                </w:rPr>
                <m:t>1</m:t>
              </m:r>
            </m:num>
            <m:den>
              <m:r>
                <w:rPr>
                  <w:rFonts w:ascii="Cambria Math" w:hAnsi="Cambria Math"/>
                  <w:szCs w:val="22"/>
                </w:rPr>
                <m:t>Subcarrier Spacing</m:t>
              </m:r>
            </m:den>
          </m:f>
          <m:r>
            <w:rPr>
              <w:rFonts w:ascii="Cambria Math" w:hAnsi="Cambria Math"/>
              <w:szCs w:val="22"/>
            </w:rPr>
            <m:t>+</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cp</m:t>
              </m:r>
            </m:sub>
          </m:sSub>
        </m:oMath>
      </m:oMathPara>
    </w:p>
    <w:p w14:paraId="0AA5680B" w14:textId="5964CB09" w:rsidR="002A34B7" w:rsidRDefault="00324CE7" w:rsidP="00844BD5">
      <w:pPr>
        <w:rPr>
          <w:szCs w:val="22"/>
        </w:rPr>
      </w:pPr>
      <w:proofErr w:type="gramStart"/>
      <w:r>
        <w:rPr>
          <w:szCs w:val="22"/>
        </w:rPr>
        <w:t>where</w:t>
      </w:r>
      <w:proofErr w:type="gramEnd"/>
      <w:r>
        <w:rPr>
          <w:szCs w:val="22"/>
        </w:rPr>
        <w:t xml:space="preserve"> </w:t>
      </w: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cp</m:t>
            </m:r>
          </m:sub>
        </m:sSub>
      </m:oMath>
      <w:r>
        <w:rPr>
          <w:szCs w:val="22"/>
        </w:rPr>
        <w:t xml:space="preserve"> is the CP duration. </w:t>
      </w:r>
    </w:p>
    <w:p w14:paraId="10E58D68" w14:textId="2A0E6D32" w:rsidR="00844BD5" w:rsidRDefault="008D228F" w:rsidP="00844BD5">
      <w:pPr>
        <w:rPr>
          <w:szCs w:val="22"/>
        </w:rPr>
      </w:pPr>
      <w:r>
        <w:rPr>
          <w:szCs w:val="22"/>
        </w:rPr>
        <w:t xml:space="preserve">For non CP-based waveforms such as </w:t>
      </w:r>
      <w:r w:rsidR="009C7BBF">
        <w:rPr>
          <w:szCs w:val="22"/>
        </w:rPr>
        <w:t>Unique</w:t>
      </w:r>
      <w:r>
        <w:rPr>
          <w:szCs w:val="22"/>
        </w:rPr>
        <w:t>-Word DFT-s-OFDM</w:t>
      </w:r>
      <w:r w:rsidR="00A77DC2">
        <w:rPr>
          <w:szCs w:val="22"/>
        </w:rPr>
        <w:t xml:space="preserve"> </w:t>
      </w:r>
      <w:r w:rsidR="00A77DC2">
        <w:rPr>
          <w:szCs w:val="22"/>
        </w:rPr>
        <w:fldChar w:fldCharType="begin"/>
      </w:r>
      <w:r w:rsidR="00A77DC2">
        <w:rPr>
          <w:szCs w:val="22"/>
        </w:rPr>
        <w:instrText xml:space="preserve"> REF _Ref456188349 \r \h </w:instrText>
      </w:r>
      <w:r w:rsidR="00A77DC2">
        <w:rPr>
          <w:szCs w:val="22"/>
        </w:rPr>
      </w:r>
      <w:r w:rsidR="00A77DC2">
        <w:rPr>
          <w:szCs w:val="22"/>
        </w:rPr>
        <w:fldChar w:fldCharType="separate"/>
      </w:r>
      <w:r w:rsidR="00A77DC2">
        <w:rPr>
          <w:szCs w:val="22"/>
        </w:rPr>
        <w:t>[3]</w:t>
      </w:r>
      <w:r w:rsidR="00A77DC2">
        <w:rPr>
          <w:szCs w:val="22"/>
        </w:rPr>
        <w:fldChar w:fldCharType="end"/>
      </w:r>
      <w:r w:rsidR="00A66821">
        <w:rPr>
          <w:szCs w:val="22"/>
        </w:rPr>
        <w:t xml:space="preserve"> </w:t>
      </w:r>
      <w:r w:rsidR="00A66821">
        <w:rPr>
          <w:szCs w:val="22"/>
        </w:rPr>
        <w:fldChar w:fldCharType="begin"/>
      </w:r>
      <w:r w:rsidR="00A66821">
        <w:rPr>
          <w:szCs w:val="22"/>
        </w:rPr>
        <w:instrText xml:space="preserve"> REF _Ref457543179 \r \h </w:instrText>
      </w:r>
      <w:r w:rsidR="00A66821">
        <w:rPr>
          <w:szCs w:val="22"/>
        </w:rPr>
      </w:r>
      <w:r w:rsidR="00A66821">
        <w:rPr>
          <w:szCs w:val="22"/>
        </w:rPr>
        <w:fldChar w:fldCharType="separate"/>
      </w:r>
      <w:r w:rsidR="00A66821">
        <w:rPr>
          <w:szCs w:val="22"/>
        </w:rPr>
        <w:t>[4]</w:t>
      </w:r>
      <w:r w:rsidR="00A66821">
        <w:rPr>
          <w:szCs w:val="22"/>
        </w:rPr>
        <w:fldChar w:fldCharType="end"/>
      </w:r>
      <w:r w:rsidR="002A34B7">
        <w:rPr>
          <w:szCs w:val="22"/>
        </w:rPr>
        <w:t>, Guard-Interval DFT-s-OFDM</w:t>
      </w:r>
      <w:r w:rsidR="00A77DC2">
        <w:rPr>
          <w:szCs w:val="22"/>
        </w:rPr>
        <w:t xml:space="preserve"> </w:t>
      </w:r>
      <w:r w:rsidR="00A77DC2">
        <w:rPr>
          <w:szCs w:val="22"/>
        </w:rPr>
        <w:fldChar w:fldCharType="begin"/>
      </w:r>
      <w:r w:rsidR="00A77DC2">
        <w:rPr>
          <w:szCs w:val="22"/>
        </w:rPr>
        <w:instrText xml:space="preserve"> REF _Ref456188358 \r \h </w:instrText>
      </w:r>
      <w:r w:rsidR="00A77DC2">
        <w:rPr>
          <w:szCs w:val="22"/>
        </w:rPr>
      </w:r>
      <w:r w:rsidR="00A77DC2">
        <w:rPr>
          <w:szCs w:val="22"/>
        </w:rPr>
        <w:fldChar w:fldCharType="separate"/>
      </w:r>
      <w:r w:rsidR="004C0051">
        <w:rPr>
          <w:szCs w:val="22"/>
        </w:rPr>
        <w:t>[5]</w:t>
      </w:r>
      <w:r w:rsidR="00A77DC2">
        <w:rPr>
          <w:szCs w:val="22"/>
        </w:rPr>
        <w:fldChar w:fldCharType="end"/>
      </w:r>
      <w:r>
        <w:rPr>
          <w:szCs w:val="22"/>
        </w:rPr>
        <w:t xml:space="preserve"> and Zero-Tail D</w:t>
      </w:r>
      <w:r w:rsidR="002A34B7">
        <w:rPr>
          <w:szCs w:val="22"/>
        </w:rPr>
        <w:t>F</w:t>
      </w:r>
      <w:r>
        <w:rPr>
          <w:szCs w:val="22"/>
        </w:rPr>
        <w:t>T-s-OFDM</w:t>
      </w:r>
      <w:r w:rsidR="00A77DC2">
        <w:rPr>
          <w:szCs w:val="22"/>
        </w:rPr>
        <w:t xml:space="preserve"> </w:t>
      </w:r>
      <w:r w:rsidR="00A77DC2">
        <w:rPr>
          <w:szCs w:val="22"/>
        </w:rPr>
        <w:fldChar w:fldCharType="begin"/>
      </w:r>
      <w:r w:rsidR="00A77DC2">
        <w:rPr>
          <w:szCs w:val="22"/>
        </w:rPr>
        <w:instrText xml:space="preserve"> REF _Ref456188368 \r \h </w:instrText>
      </w:r>
      <w:r w:rsidR="00A77DC2">
        <w:rPr>
          <w:szCs w:val="22"/>
        </w:rPr>
      </w:r>
      <w:r w:rsidR="00A77DC2">
        <w:rPr>
          <w:szCs w:val="22"/>
        </w:rPr>
        <w:fldChar w:fldCharType="separate"/>
      </w:r>
      <w:r w:rsidR="004C0051">
        <w:rPr>
          <w:szCs w:val="22"/>
        </w:rPr>
        <w:t>[6]</w:t>
      </w:r>
      <w:r w:rsidR="00A77DC2">
        <w:rPr>
          <w:szCs w:val="22"/>
        </w:rPr>
        <w:fldChar w:fldCharType="end"/>
      </w:r>
      <w:r w:rsidR="009C7BBF">
        <w:rPr>
          <w:szCs w:val="22"/>
        </w:rPr>
        <w:t>, symbol</w:t>
      </w:r>
      <w:r>
        <w:rPr>
          <w:szCs w:val="22"/>
        </w:rPr>
        <w:t xml:space="preserve"> duration is only a function of subcarrier spacing. In this family of waveforms, t</w:t>
      </w:r>
      <w:r w:rsidRPr="008D228F">
        <w:rPr>
          <w:szCs w:val="22"/>
        </w:rPr>
        <w:t>he CP</w:t>
      </w:r>
      <w:r>
        <w:rPr>
          <w:szCs w:val="22"/>
        </w:rPr>
        <w:t xml:space="preserve"> is</w:t>
      </w:r>
      <w:r w:rsidRPr="008D228F">
        <w:rPr>
          <w:szCs w:val="22"/>
        </w:rPr>
        <w:t xml:space="preserve"> replaced by </w:t>
      </w:r>
      <w:r>
        <w:rPr>
          <w:szCs w:val="22"/>
        </w:rPr>
        <w:t xml:space="preserve">a </w:t>
      </w:r>
      <w:r w:rsidR="009C7BBF">
        <w:rPr>
          <w:szCs w:val="22"/>
        </w:rPr>
        <w:t>deterministic</w:t>
      </w:r>
      <w:r>
        <w:rPr>
          <w:szCs w:val="22"/>
        </w:rPr>
        <w:t xml:space="preserve"> sequence </w:t>
      </w:r>
      <w:r w:rsidRPr="008D228F">
        <w:rPr>
          <w:szCs w:val="22"/>
        </w:rPr>
        <w:t>which are part of the symbol</w:t>
      </w:r>
      <w:r w:rsidR="002A34B7">
        <w:rPr>
          <w:szCs w:val="22"/>
        </w:rPr>
        <w:t>:</w:t>
      </w:r>
    </w:p>
    <w:p w14:paraId="5BB2C001" w14:textId="7F583997" w:rsidR="002A34B7" w:rsidRDefault="003816F8" w:rsidP="002A34B7">
      <w:pPr>
        <w:rPr>
          <w:szCs w:val="22"/>
        </w:rPr>
      </w:pPr>
      <m:oMathPara>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T</m:t>
                  </m:r>
                </m:e>
                <m:sup>
                  <m:r>
                    <w:rPr>
                      <w:rFonts w:ascii="Cambria Math" w:hAnsi="Cambria Math"/>
                      <w:szCs w:val="22"/>
                    </w:rPr>
                    <m:t>'</m:t>
                  </m:r>
                </m:sup>
              </m:sSup>
            </m:e>
            <m:sub>
              <m:r>
                <w:rPr>
                  <w:rFonts w:ascii="Cambria Math" w:hAnsi="Cambria Math"/>
                  <w:szCs w:val="22"/>
                </w:rPr>
                <m:t>Non CP-based</m:t>
              </m:r>
            </m:sub>
          </m:sSub>
          <m:r>
            <w:rPr>
              <w:rFonts w:ascii="Cambria Math" w:hAnsi="Cambria Math"/>
              <w:szCs w:val="22"/>
            </w:rPr>
            <m:t xml:space="preserve">= </m:t>
          </m:r>
          <m:f>
            <m:fPr>
              <m:ctrlPr>
                <w:rPr>
                  <w:rFonts w:ascii="Cambria Math" w:hAnsi="Cambria Math"/>
                  <w:i/>
                  <w:szCs w:val="22"/>
                </w:rPr>
              </m:ctrlPr>
            </m:fPr>
            <m:num>
              <m:r>
                <w:rPr>
                  <w:rFonts w:ascii="Cambria Math" w:hAnsi="Cambria Math"/>
                  <w:szCs w:val="22"/>
                </w:rPr>
                <m:t>1</m:t>
              </m:r>
            </m:num>
            <m:den>
              <m:r>
                <w:rPr>
                  <w:rFonts w:ascii="Cambria Math" w:hAnsi="Cambria Math"/>
                  <w:szCs w:val="22"/>
                </w:rPr>
                <m:t>Subcarrier Spacing</m:t>
              </m:r>
            </m:den>
          </m:f>
        </m:oMath>
      </m:oMathPara>
    </w:p>
    <w:p w14:paraId="40EF9437" w14:textId="77777777" w:rsidR="00DC1307" w:rsidRDefault="00DC1307" w:rsidP="00DB0C89"/>
    <w:p w14:paraId="534FC6F6" w14:textId="16F45B01" w:rsidR="007257C5" w:rsidRDefault="004F6700" w:rsidP="00DB0C89">
      <w:r>
        <w:t>In</w:t>
      </w:r>
      <w:r w:rsidR="00DB0C89" w:rsidRPr="00DB0C89">
        <w:t xml:space="preserve"> the case of </w:t>
      </w:r>
      <w:r w:rsidR="00F67C3D">
        <w:t xml:space="preserve">a </w:t>
      </w:r>
      <w:r w:rsidR="00DB0C89" w:rsidRPr="00DB0C89">
        <w:t>subcarrier spacing</w:t>
      </w:r>
      <w:r w:rsidR="00DB0C89">
        <w:t xml:space="preserve"> of </w:t>
      </w:r>
      <w:r w:rsidR="00DB0C89" w:rsidRPr="00DB0C89">
        <w:t>15 kHz</w:t>
      </w:r>
      <w:r w:rsidR="00DB0C89">
        <w:t>,</w:t>
      </w:r>
      <w:r w:rsidR="00931F0E">
        <w:t xml:space="preserve"> </w:t>
      </w:r>
      <w:r w:rsidR="00F67C3D">
        <w:t xml:space="preserve">the </w:t>
      </w:r>
      <w:r w:rsidR="00931F0E">
        <w:t xml:space="preserve">LTE numerology makes it impossible to </w:t>
      </w:r>
      <w:r w:rsidR="00DB0C89">
        <w:t>achieve</w:t>
      </w:r>
      <w:r w:rsidR="00F67C3D">
        <w:t xml:space="preserve"> a </w:t>
      </w:r>
      <w:r w:rsidR="00DB0C89">
        <w:t>sy</w:t>
      </w:r>
      <w:r w:rsidR="00931F0E">
        <w:t xml:space="preserve">mbol boundary alignment </w:t>
      </w:r>
      <w:r w:rsidR="00DB0C89">
        <w:t>between LTE CP-based OFDM</w:t>
      </w:r>
      <w:r w:rsidR="00F67C3D">
        <w:t>,</w:t>
      </w:r>
      <w:r w:rsidR="00DB0C89">
        <w:t xml:space="preserve"> and non CP-based waveforms. This is due to the fact that for non CP-based waveforms such as UW DFT-s-OFDM, the number of symbols within 1 ms</w:t>
      </w:r>
      <w:r w:rsidR="008B4B9C">
        <w:t>ec</w:t>
      </w:r>
      <w:r w:rsidR="00DB0C89">
        <w:t xml:space="preserve"> interval is 15 vs 14</w:t>
      </w:r>
      <w:r w:rsidR="00112906">
        <w:t xml:space="preserve"> symbols for normal CP</w:t>
      </w:r>
      <w:r w:rsidR="00DB0C89">
        <w:t xml:space="preserve"> in the legacy LTE system</w:t>
      </w:r>
      <w:r w:rsidR="004E12E7">
        <w:t xml:space="preserve"> as can be seen in</w:t>
      </w:r>
      <w:r w:rsidR="007D6A5F">
        <w:t xml:space="preserve"> </w:t>
      </w:r>
      <w:r w:rsidR="007D6A5F">
        <w:fldChar w:fldCharType="begin"/>
      </w:r>
      <w:r w:rsidR="007D6A5F">
        <w:instrText xml:space="preserve"> REF _Ref456082382 \h </w:instrText>
      </w:r>
      <w:r w:rsidR="007D6A5F">
        <w:fldChar w:fldCharType="separate"/>
      </w:r>
      <w:r w:rsidR="007D6A5F">
        <w:t xml:space="preserve">Figure </w:t>
      </w:r>
      <w:r w:rsidR="007D6A5F">
        <w:rPr>
          <w:noProof/>
        </w:rPr>
        <w:t>1</w:t>
      </w:r>
      <w:r w:rsidR="007D6A5F">
        <w:fldChar w:fldCharType="end"/>
      </w:r>
      <w:r w:rsidR="00236E5D">
        <w:t>.</w:t>
      </w:r>
      <w:r w:rsidR="00312B85">
        <w:t xml:space="preserve"> </w:t>
      </w:r>
    </w:p>
    <w:p w14:paraId="2926931D" w14:textId="1858DDCA" w:rsidR="007D6A5F" w:rsidRDefault="00DC1307" w:rsidP="00DC1307">
      <w:pPr>
        <w:keepNext/>
        <w:jc w:val="center"/>
      </w:pPr>
      <w:r>
        <w:object w:dxaOrig="10905" w:dyaOrig="3106" w14:anchorId="689BED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15pt;height:138.8pt" o:ole="">
            <v:imagedata r:id="rId12" o:title=""/>
          </v:shape>
          <o:OLEObject Type="Embed" ProgID="Visio.Drawing.15" ShapeID="_x0000_i1025" DrawAspect="Content" ObjectID="_1532436580" r:id="rId13"/>
        </w:object>
      </w:r>
    </w:p>
    <w:p w14:paraId="3690A2CF" w14:textId="52283218" w:rsidR="007257C5" w:rsidRDefault="007D6A5F" w:rsidP="007D6A5F">
      <w:pPr>
        <w:pStyle w:val="Caption"/>
      </w:pPr>
      <w:bookmarkStart w:id="0" w:name="_Ref456082382"/>
      <w:r>
        <w:t xml:space="preserve">Figure </w:t>
      </w:r>
      <w:r>
        <w:fldChar w:fldCharType="begin"/>
      </w:r>
      <w:r>
        <w:instrText xml:space="preserve"> SEQ Figure \* ARABIC </w:instrText>
      </w:r>
      <w:r>
        <w:fldChar w:fldCharType="separate"/>
      </w:r>
      <w:r w:rsidR="00DD15B1">
        <w:rPr>
          <w:noProof/>
        </w:rPr>
        <w:t>1</w:t>
      </w:r>
      <w:r>
        <w:fldChar w:fldCharType="end"/>
      </w:r>
      <w:bookmarkEnd w:id="0"/>
      <w:r>
        <w:t xml:space="preserve">: </w:t>
      </w:r>
      <w:proofErr w:type="spellStart"/>
      <w:r>
        <w:t>Subframe</w:t>
      </w:r>
      <w:proofErr w:type="spellEnd"/>
      <w:r>
        <w:t xml:space="preserve"> structure comparison between CP-based and Non CP-based waveforms</w:t>
      </w:r>
    </w:p>
    <w:p w14:paraId="51F688C5" w14:textId="363C3FC9" w:rsidR="004A76A0" w:rsidRDefault="004A76A0" w:rsidP="004555E3">
      <w:pPr>
        <w:rPr>
          <w:b/>
          <w:i/>
          <w:szCs w:val="22"/>
          <w:u w:val="single"/>
          <w:lang w:eastAsia="sv-SE"/>
        </w:rPr>
      </w:pPr>
      <w:r>
        <w:rPr>
          <w:b/>
          <w:i/>
          <w:szCs w:val="22"/>
          <w:u w:val="single"/>
          <w:lang w:eastAsia="sv-SE"/>
        </w:rPr>
        <w:t xml:space="preserve">Observation: </w:t>
      </w:r>
      <w:r w:rsidR="00D56E06">
        <w:rPr>
          <w:b/>
          <w:i/>
          <w:szCs w:val="22"/>
          <w:u w:val="single"/>
          <w:lang w:eastAsia="sv-SE"/>
        </w:rPr>
        <w:t>Symbol alignment with LTE is not achievable if a non CP-based waveform is used.</w:t>
      </w:r>
    </w:p>
    <w:p w14:paraId="205BD891" w14:textId="2FF2BE40" w:rsidR="00F84E2D" w:rsidRDefault="00E93D7B" w:rsidP="00F05F3A">
      <w:r w:rsidRPr="00F84E2D" w:rsidDel="00E93D7B">
        <w:rPr>
          <w:i/>
          <w:szCs w:val="22"/>
          <w:lang w:eastAsia="sv-SE"/>
        </w:rPr>
        <w:t xml:space="preserve"> </w:t>
      </w:r>
      <w:r w:rsidR="00D05C14">
        <w:t xml:space="preserve">In our understanding, RAN1 will make a decision on the type(s) of waveform supported in NR based at least on the outcome of the waveform evaluation exercise which is part of the SI. We envision that more than one type of waveform can be supported to allow possibility of using a waveform best suited to a particular deployment, and these waveforms may include both (or either) CP-based and non-CP based waveform. </w:t>
      </w:r>
      <w:r w:rsidR="004F6700">
        <w:t xml:space="preserve">Accordingly, symbol boundary alignment </w:t>
      </w:r>
      <w:r w:rsidR="00D05C14">
        <w:t>agreements</w:t>
      </w:r>
      <w:r w:rsidR="00327E85">
        <w:t xml:space="preserve"> </w:t>
      </w:r>
      <w:r w:rsidR="004F6700">
        <w:t xml:space="preserve">should take the </w:t>
      </w:r>
      <w:proofErr w:type="spellStart"/>
      <w:r w:rsidR="00D05C14">
        <w:t>the</w:t>
      </w:r>
      <w:proofErr w:type="spellEnd"/>
      <w:r w:rsidR="00D05C14">
        <w:t xml:space="preserve"> possibility of supporting non-CP based </w:t>
      </w:r>
      <w:r w:rsidR="004F6700">
        <w:t>waveforms into account.</w:t>
      </w:r>
    </w:p>
    <w:p w14:paraId="10238FA1" w14:textId="3C114E5F" w:rsidR="00B704E0" w:rsidRDefault="00B704E0" w:rsidP="00F05F3A">
      <w:pPr>
        <w:rPr>
          <w:i/>
          <w:szCs w:val="22"/>
          <w:lang w:eastAsia="sv-SE"/>
        </w:rPr>
      </w:pPr>
      <w:r w:rsidRPr="00BD22FC">
        <w:rPr>
          <w:b/>
          <w:i/>
          <w:szCs w:val="22"/>
          <w:u w:val="single"/>
          <w:lang w:eastAsia="sv-SE"/>
        </w:rPr>
        <w:t>Proposal 1:</w:t>
      </w:r>
      <w:r>
        <w:rPr>
          <w:i/>
          <w:szCs w:val="22"/>
          <w:lang w:eastAsia="sv-SE"/>
        </w:rPr>
        <w:t xml:space="preserve"> </w:t>
      </w:r>
      <w:r w:rsidR="00F75A6C">
        <w:rPr>
          <w:i/>
          <w:szCs w:val="22"/>
          <w:lang w:eastAsia="sv-SE"/>
        </w:rPr>
        <w:t xml:space="preserve">Modify the working assumption on adopting alternative 1 (LTE-based numerology) as baseline such that it is applicable to CP-based waveform only, </w:t>
      </w:r>
      <w:proofErr w:type="spellStart"/>
      <w:r w:rsidR="00F75A6C">
        <w:rPr>
          <w:i/>
          <w:szCs w:val="22"/>
          <w:lang w:eastAsia="sv-SE"/>
        </w:rPr>
        <w:t>i.e</w:t>
      </w:r>
      <w:proofErr w:type="spellEnd"/>
    </w:p>
    <w:p w14:paraId="43ABA0D7" w14:textId="45CE0809" w:rsidR="00F75A6C" w:rsidRPr="00746D51" w:rsidRDefault="00F75A6C" w:rsidP="00F75A6C">
      <w:pPr>
        <w:numPr>
          <w:ilvl w:val="0"/>
          <w:numId w:val="21"/>
        </w:numPr>
        <w:overflowPunct/>
        <w:autoSpaceDE/>
        <w:autoSpaceDN/>
        <w:adjustRightInd/>
        <w:spacing w:after="0"/>
        <w:jc w:val="left"/>
        <w:textAlignment w:val="auto"/>
        <w:rPr>
          <w:rFonts w:ascii="Times" w:eastAsia="Batang" w:hAnsi="Times"/>
          <w:i/>
          <w:sz w:val="20"/>
          <w:szCs w:val="24"/>
          <w:lang w:eastAsia="en-US"/>
        </w:rPr>
      </w:pPr>
      <w:r w:rsidRPr="00746D51">
        <w:rPr>
          <w:rFonts w:ascii="Times" w:eastAsia="Batang" w:hAnsi="Times"/>
          <w:i/>
          <w:sz w:val="20"/>
          <w:szCs w:val="24"/>
          <w:lang w:eastAsia="en-US"/>
        </w:rPr>
        <w:t>RAN1 concludes on alternative 1 (15 kHz</w:t>
      </w:r>
      <w:r w:rsidR="00A06357">
        <w:rPr>
          <w:rFonts w:ascii="Times" w:eastAsia="Batang" w:hAnsi="Times"/>
          <w:i/>
          <w:sz w:val="20"/>
          <w:szCs w:val="24"/>
          <w:lang w:eastAsia="en-US"/>
        </w:rPr>
        <w:t xml:space="preserve"> with LTE-based numerology</w:t>
      </w:r>
      <w:r w:rsidRPr="00746D51">
        <w:rPr>
          <w:rFonts w:ascii="Times" w:eastAsia="Batang" w:hAnsi="Times"/>
          <w:i/>
          <w:sz w:val="20"/>
          <w:szCs w:val="24"/>
          <w:lang w:eastAsia="en-US"/>
        </w:rPr>
        <w:t xml:space="preserve">) as the baseline </w:t>
      </w:r>
      <w:r w:rsidRPr="00746D51">
        <w:rPr>
          <w:rFonts w:ascii="Times" w:eastAsia="MS Mincho" w:hAnsi="Times" w:hint="eastAsia"/>
          <w:i/>
          <w:sz w:val="20"/>
          <w:szCs w:val="24"/>
          <w:lang w:eastAsia="ja-JP"/>
        </w:rPr>
        <w:t xml:space="preserve">design assumption </w:t>
      </w:r>
      <w:r w:rsidRPr="00746D51">
        <w:rPr>
          <w:rFonts w:ascii="Times" w:eastAsia="Batang" w:hAnsi="Times"/>
          <w:i/>
          <w:sz w:val="20"/>
          <w:szCs w:val="24"/>
          <w:lang w:eastAsia="en-US"/>
        </w:rPr>
        <w:t>for the NR numerology</w:t>
      </w:r>
      <w:r>
        <w:rPr>
          <w:rFonts w:ascii="Times" w:eastAsia="Batang" w:hAnsi="Times"/>
          <w:i/>
          <w:sz w:val="20"/>
          <w:szCs w:val="24"/>
          <w:lang w:eastAsia="en-US"/>
        </w:rPr>
        <w:t xml:space="preserve"> applicable to CP-based waveform</w:t>
      </w:r>
    </w:p>
    <w:p w14:paraId="2EE4D416" w14:textId="77777777" w:rsidR="00A06357" w:rsidRDefault="00A06357" w:rsidP="00F05F3A">
      <w:pPr>
        <w:rPr>
          <w:szCs w:val="22"/>
          <w:lang w:eastAsia="sv-SE"/>
        </w:rPr>
      </w:pPr>
    </w:p>
    <w:p w14:paraId="4791F76E" w14:textId="2760F2A8" w:rsidR="00A06357" w:rsidRDefault="00A06357" w:rsidP="00F05F3A">
      <w:pPr>
        <w:rPr>
          <w:szCs w:val="22"/>
          <w:lang w:eastAsia="sv-SE"/>
        </w:rPr>
      </w:pPr>
      <w:r w:rsidRPr="00F84E2D">
        <w:rPr>
          <w:szCs w:val="22"/>
          <w:lang w:eastAsia="sv-SE"/>
        </w:rPr>
        <w:t xml:space="preserve">If RAN1 </w:t>
      </w:r>
      <w:r>
        <w:rPr>
          <w:szCs w:val="22"/>
          <w:lang w:eastAsia="sv-SE"/>
        </w:rPr>
        <w:t xml:space="preserve">agrees on 15 kHz as the basic subcarrier spacing value as per the above working assumption, it would be natural that the same value is used for non-CP based waveform to simplify clock implementation. However, it should be </w:t>
      </w:r>
      <w:r w:rsidR="00427FAA">
        <w:rPr>
          <w:szCs w:val="22"/>
          <w:lang w:eastAsia="sv-SE"/>
        </w:rPr>
        <w:t>understood</w:t>
      </w:r>
      <w:r>
        <w:rPr>
          <w:szCs w:val="22"/>
          <w:lang w:eastAsia="sv-SE"/>
        </w:rPr>
        <w:t xml:space="preserve"> that LTE-based numerology is not applicable in that case.</w:t>
      </w:r>
    </w:p>
    <w:p w14:paraId="2FE711CB" w14:textId="3EE27769" w:rsidR="00A06357" w:rsidRDefault="00A06357" w:rsidP="00F05F3A">
      <w:pPr>
        <w:rPr>
          <w:szCs w:val="22"/>
          <w:lang w:eastAsia="sv-SE"/>
        </w:rPr>
      </w:pPr>
      <w:r w:rsidRPr="00BD22FC">
        <w:rPr>
          <w:b/>
          <w:i/>
          <w:szCs w:val="22"/>
          <w:u w:val="single"/>
          <w:lang w:eastAsia="sv-SE"/>
        </w:rPr>
        <w:t>Proposal 2:</w:t>
      </w:r>
      <w:r>
        <w:rPr>
          <w:i/>
          <w:szCs w:val="22"/>
          <w:lang w:eastAsia="sv-SE"/>
        </w:rPr>
        <w:t xml:space="preserve"> In case the adoption of 15 kHz as basic subcarrier spacing is c</w:t>
      </w:r>
      <w:r w:rsidR="00427FAA">
        <w:rPr>
          <w:i/>
          <w:szCs w:val="22"/>
          <w:lang w:eastAsia="sv-SE"/>
        </w:rPr>
        <w:t>onfirmed as baseline</w:t>
      </w:r>
    </w:p>
    <w:p w14:paraId="43621B27" w14:textId="5A95A6A1" w:rsidR="00427FAA" w:rsidRPr="00746D51" w:rsidRDefault="00427FAA" w:rsidP="00F84E2D">
      <w:pPr>
        <w:numPr>
          <w:ilvl w:val="0"/>
          <w:numId w:val="21"/>
        </w:numPr>
        <w:overflowPunct/>
        <w:autoSpaceDE/>
        <w:autoSpaceDN/>
        <w:adjustRightInd/>
        <w:spacing w:after="0"/>
        <w:jc w:val="left"/>
        <w:textAlignment w:val="auto"/>
        <w:rPr>
          <w:rFonts w:eastAsia="MS Mincho"/>
          <w:i/>
          <w:lang w:val="en-US" w:eastAsia="ja-JP"/>
        </w:rPr>
      </w:pPr>
      <w:r>
        <w:rPr>
          <w:rFonts w:eastAsia="MS Mincho"/>
          <w:i/>
          <w:lang w:val="en-US" w:eastAsia="ja-JP"/>
        </w:rPr>
        <w:t>The basic subcarrier spacing from which other v</w:t>
      </w:r>
      <w:proofErr w:type="spellStart"/>
      <w:r w:rsidRPr="00746D51">
        <w:rPr>
          <w:rFonts w:eastAsia="MS Mincho"/>
          <w:i/>
          <w:lang w:eastAsia="ja-JP"/>
        </w:rPr>
        <w:t>alues</w:t>
      </w:r>
      <w:proofErr w:type="spellEnd"/>
      <w:r w:rsidRPr="00746D51">
        <w:rPr>
          <w:rFonts w:eastAsia="MS Mincho"/>
          <w:i/>
          <w:lang w:eastAsia="ja-JP"/>
        </w:rPr>
        <w:t xml:space="preserve"> of subcarrier-spacing are derived </w:t>
      </w:r>
      <w:r>
        <w:rPr>
          <w:rFonts w:eastAsia="MS Mincho"/>
          <w:i/>
          <w:lang w:eastAsia="ja-JP"/>
        </w:rPr>
        <w:t>for non-CP based waveform is 15 kHz</w:t>
      </w:r>
    </w:p>
    <w:p w14:paraId="7A37100E" w14:textId="3A266600" w:rsidR="00A06357" w:rsidRPr="00746D51" w:rsidRDefault="00427FAA" w:rsidP="00F84E2D">
      <w:pPr>
        <w:numPr>
          <w:ilvl w:val="0"/>
          <w:numId w:val="21"/>
        </w:numPr>
        <w:overflowPunct/>
        <w:autoSpaceDE/>
        <w:autoSpaceDN/>
        <w:adjustRightInd/>
        <w:spacing w:after="0"/>
        <w:jc w:val="left"/>
        <w:textAlignment w:val="auto"/>
        <w:rPr>
          <w:rFonts w:eastAsia="MS Mincho"/>
          <w:i/>
          <w:lang w:val="en-US" w:eastAsia="ja-JP"/>
        </w:rPr>
      </w:pPr>
      <w:r>
        <w:rPr>
          <w:rFonts w:eastAsia="MS Mincho"/>
          <w:i/>
          <w:lang w:val="en-US" w:eastAsia="ja-JP"/>
        </w:rPr>
        <w:t>No symbol alignment with LTE-based numerology is assumed</w:t>
      </w:r>
    </w:p>
    <w:p w14:paraId="0579B305" w14:textId="67D9B21E" w:rsidR="0094403B" w:rsidRPr="00DE1E23" w:rsidRDefault="00DF3699" w:rsidP="0094403B">
      <w:pPr>
        <w:pStyle w:val="Heading1"/>
        <w:pBdr>
          <w:top w:val="single" w:sz="12" w:space="5" w:color="auto"/>
        </w:pBdr>
        <w:spacing w:after="120"/>
        <w:rPr>
          <w:sz w:val="32"/>
          <w:szCs w:val="32"/>
          <w:lang w:val="en-US"/>
        </w:rPr>
      </w:pPr>
      <w:r>
        <w:rPr>
          <w:sz w:val="32"/>
          <w:szCs w:val="32"/>
        </w:rPr>
        <w:lastRenderedPageBreak/>
        <w:t xml:space="preserve"> </w:t>
      </w:r>
      <w:r w:rsidR="00E93D7B">
        <w:rPr>
          <w:sz w:val="32"/>
          <w:szCs w:val="32"/>
        </w:rPr>
        <w:t>One msec Alignment</w:t>
      </w:r>
    </w:p>
    <w:p w14:paraId="5DFF9572" w14:textId="2054CBBB" w:rsidR="00E93D7B" w:rsidRDefault="00743755" w:rsidP="004555E3">
      <w:r>
        <w:t xml:space="preserve">To support </w:t>
      </w:r>
      <w:r w:rsidR="00EB41A3">
        <w:t>coexistence</w:t>
      </w:r>
      <w:r>
        <w:t xml:space="preserve"> with the legacy LTE systems, it is </w:t>
      </w:r>
      <w:r w:rsidR="008B4B9C">
        <w:t>already agreed that f</w:t>
      </w:r>
      <w:r w:rsidR="008B4B9C" w:rsidRPr="008B4B9C">
        <w:t>or the numerology with 15 kHz and larger subcarrier spacin</w:t>
      </w:r>
      <w:r w:rsidR="008B4B9C">
        <w:t>g,</w:t>
      </w:r>
      <w:r w:rsidR="00EB41A3">
        <w:t xml:space="preserve"> </w:t>
      </w:r>
      <w:r w:rsidR="008B4B9C">
        <w:t xml:space="preserve">1 msec alignment to be </w:t>
      </w:r>
      <w:r w:rsidR="008B4B9C" w:rsidRPr="008B4B9C">
        <w:t>supported</w:t>
      </w:r>
      <w:r w:rsidR="008B4B9C">
        <w:t>. Further extension of this agreement to other numerologies (e.g., smaller subcarrier spacing) could potentially limit the scalability of NR into new services in future.</w:t>
      </w:r>
      <w:r w:rsidR="00DD15B1">
        <w:t xml:space="preserve"> In fact, scaling by subcarrier spacing will directly impact </w:t>
      </w:r>
      <w:proofErr w:type="spellStart"/>
      <w:r w:rsidR="00DD15B1">
        <w:t>subframe</w:t>
      </w:r>
      <w:proofErr w:type="spellEnd"/>
      <w:r w:rsidR="00DD15B1">
        <w:t xml:space="preserve"> multiplexing. </w:t>
      </w:r>
      <w:r w:rsidR="00DD15B1" w:rsidRPr="00DD15B1">
        <w:t>For example, as shown in Figure 2,</w:t>
      </w:r>
      <w:r w:rsidR="00DD15B1">
        <w:t xml:space="preserve"> for smaller subcarrier spacing of </w:t>
      </w:r>
      <m:oMath>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=7.5 KHz</m:t>
        </m:r>
      </m:oMath>
      <w:r w:rsidR="00DD15B1">
        <w:t xml:space="preserve"> the number of symbols within 1 msec </w:t>
      </w:r>
      <w:r w:rsidR="00327E85">
        <w:t xml:space="preserve">would </w:t>
      </w:r>
      <w:r w:rsidR="00DD15B1">
        <w:t xml:space="preserve">be limited to 6 in case of non CP-based </w:t>
      </w:r>
      <w:r w:rsidR="00327E85">
        <w:t>waveform</w:t>
      </w:r>
      <w:r w:rsidR="00DD15B1">
        <w:t>. This</w:t>
      </w:r>
      <w:r w:rsidR="004C5253">
        <w:t xml:space="preserve"> </w:t>
      </w:r>
      <w:r w:rsidR="00327E85">
        <w:t xml:space="preserve">would </w:t>
      </w:r>
      <w:r w:rsidR="004C5253">
        <w:t>impl</w:t>
      </w:r>
      <w:r w:rsidR="00327E85">
        <w:t>y</w:t>
      </w:r>
      <w:r w:rsidR="004C5253">
        <w:t xml:space="preserve"> 6.6% efficiency loss per 1 msec.</w:t>
      </w:r>
    </w:p>
    <w:p w14:paraId="07AF2C65" w14:textId="77777777" w:rsidR="00DD15B1" w:rsidRDefault="00DD15B1" w:rsidP="00DD15B1">
      <w:pPr>
        <w:keepNext/>
      </w:pPr>
      <w:r>
        <w:object w:dxaOrig="10935" w:dyaOrig="2311" w14:anchorId="2B47AB94">
          <v:shape id="_x0000_i1026" type="#_x0000_t75" style="width:481.95pt;height:102.5pt" o:ole="">
            <v:imagedata r:id="rId14" o:title=""/>
          </v:shape>
          <o:OLEObject Type="Embed" ProgID="Visio.Drawing.15" ShapeID="_x0000_i1026" DrawAspect="Content" ObjectID="_1532436581" r:id="rId15"/>
        </w:object>
      </w:r>
    </w:p>
    <w:p w14:paraId="4FB07BF0" w14:textId="326E9A40" w:rsidR="00DD15B1" w:rsidRPr="00611209" w:rsidRDefault="00DD15B1" w:rsidP="00DD15B1">
      <w:pPr>
        <w:pStyle w:val="Caption"/>
        <w:rPr>
          <w:b w:val="0"/>
          <w:i/>
          <w:szCs w:val="22"/>
          <w:lang w:eastAsia="sv-SE"/>
        </w:rPr>
      </w:pPr>
      <w:bookmarkStart w:id="1" w:name="_Ref456170786"/>
      <w:r>
        <w:t xml:space="preserve">Figure </w:t>
      </w:r>
      <w:r>
        <w:fldChar w:fldCharType="begin"/>
      </w:r>
      <w:r>
        <w:instrText xml:space="preserve"> SEQ Figure \* ARABIC </w:instrText>
      </w:r>
      <w:r>
        <w:fldChar w:fldCharType="separate"/>
      </w:r>
      <w:r>
        <w:rPr>
          <w:noProof/>
        </w:rPr>
        <w:t>2</w:t>
      </w:r>
      <w:r>
        <w:fldChar w:fldCharType="end"/>
      </w:r>
      <w:bookmarkEnd w:id="1"/>
      <w:r>
        <w:t xml:space="preserve">: Implication of </w:t>
      </w:r>
      <w:proofErr w:type="spellStart"/>
      <w:r>
        <w:t>subframe</w:t>
      </w:r>
      <w:proofErr w:type="spellEnd"/>
      <w:r>
        <w:t xml:space="preserve"> multiplexing based on 1 msec alignment</w:t>
      </w:r>
    </w:p>
    <w:p w14:paraId="288D476F" w14:textId="51FC2CC4" w:rsidR="00503702" w:rsidRDefault="00F63225" w:rsidP="004555E3">
      <w:pPr>
        <w:rPr>
          <w:i/>
          <w:szCs w:val="22"/>
          <w:lang w:eastAsia="sv-SE"/>
        </w:rPr>
      </w:pPr>
      <w:r>
        <w:rPr>
          <w:b/>
          <w:i/>
          <w:szCs w:val="22"/>
          <w:u w:val="single"/>
          <w:lang w:eastAsia="sv-SE"/>
        </w:rPr>
        <w:t xml:space="preserve">Proposal </w:t>
      </w:r>
      <w:r w:rsidR="00EE70E9">
        <w:rPr>
          <w:b/>
          <w:i/>
          <w:szCs w:val="22"/>
          <w:u w:val="single"/>
          <w:lang w:eastAsia="sv-SE"/>
        </w:rPr>
        <w:t>3</w:t>
      </w:r>
      <w:r w:rsidR="004555E3" w:rsidRPr="003E128F">
        <w:rPr>
          <w:b/>
          <w:i/>
          <w:szCs w:val="22"/>
          <w:u w:val="single"/>
          <w:lang w:eastAsia="sv-SE"/>
        </w:rPr>
        <w:t>:</w:t>
      </w:r>
      <w:r w:rsidR="004555E3" w:rsidRPr="003E128F">
        <w:rPr>
          <w:b/>
          <w:i/>
          <w:szCs w:val="22"/>
          <w:lang w:eastAsia="sv-SE"/>
        </w:rPr>
        <w:t xml:space="preserve"> </w:t>
      </w:r>
      <w:r w:rsidR="004C5253" w:rsidRPr="004C5253">
        <w:rPr>
          <w:i/>
          <w:szCs w:val="22"/>
          <w:lang w:eastAsia="sv-SE"/>
        </w:rPr>
        <w:t>1 msec alignment</w:t>
      </w:r>
      <w:r w:rsidR="00E93D7B">
        <w:rPr>
          <w:i/>
          <w:szCs w:val="22"/>
          <w:lang w:eastAsia="sv-SE"/>
        </w:rPr>
        <w:t xml:space="preserve"> </w:t>
      </w:r>
      <w:r w:rsidR="00327E85">
        <w:rPr>
          <w:i/>
          <w:szCs w:val="22"/>
          <w:lang w:eastAsia="sv-SE"/>
        </w:rPr>
        <w:t>should not be extended to sub-carrier spacing values below 15 kHz.</w:t>
      </w:r>
      <w:r w:rsidR="004C5253" w:rsidRPr="004C5253">
        <w:rPr>
          <w:i/>
          <w:szCs w:val="22"/>
          <w:lang w:eastAsia="sv-SE"/>
        </w:rPr>
        <w:t xml:space="preserve"> </w:t>
      </w:r>
    </w:p>
    <w:p w14:paraId="0D07AF73" w14:textId="4EFA297E" w:rsidR="004555E3" w:rsidRPr="008B4B9C" w:rsidRDefault="008B4B9C" w:rsidP="004555E3">
      <w:pPr>
        <w:rPr>
          <w:i/>
          <w:szCs w:val="22"/>
          <w:u w:val="single"/>
          <w:lang w:eastAsia="sv-SE"/>
        </w:rPr>
      </w:pPr>
      <w:r w:rsidRPr="008B4B9C">
        <w:rPr>
          <w:i/>
          <w:szCs w:val="22"/>
          <w:lang w:eastAsia="sv-SE"/>
        </w:rPr>
        <w:t xml:space="preserve"> </w:t>
      </w:r>
    </w:p>
    <w:p w14:paraId="596E93DF" w14:textId="4893F5BD" w:rsidR="00821C42" w:rsidRDefault="00BF17FD" w:rsidP="00821C42">
      <w:pPr>
        <w:pStyle w:val="Heading1"/>
        <w:pBdr>
          <w:top w:val="single" w:sz="12" w:space="5" w:color="auto"/>
        </w:pBdr>
        <w:spacing w:after="120"/>
        <w:rPr>
          <w:sz w:val="32"/>
          <w:lang w:val="en-US"/>
        </w:rPr>
      </w:pPr>
      <w:r>
        <w:rPr>
          <w:sz w:val="32"/>
          <w:lang w:val="en-US"/>
        </w:rPr>
        <w:t>Summary</w:t>
      </w:r>
    </w:p>
    <w:p w14:paraId="0E6E59C8" w14:textId="4A6BA29F" w:rsidR="00685F6F" w:rsidRPr="00611209" w:rsidRDefault="003A76BF" w:rsidP="003242DD">
      <w:pPr>
        <w:rPr>
          <w:szCs w:val="22"/>
        </w:rPr>
      </w:pPr>
      <w:r>
        <w:rPr>
          <w:szCs w:val="22"/>
        </w:rPr>
        <w:t>In t</w:t>
      </w:r>
      <w:r w:rsidR="003242DD" w:rsidRPr="00611209">
        <w:rPr>
          <w:szCs w:val="22"/>
        </w:rPr>
        <w:t>his contribution</w:t>
      </w:r>
      <w:r>
        <w:rPr>
          <w:szCs w:val="22"/>
        </w:rPr>
        <w:t>, we</w:t>
      </w:r>
      <w:r w:rsidR="003242DD" w:rsidRPr="00611209">
        <w:rPr>
          <w:szCs w:val="22"/>
        </w:rPr>
        <w:t xml:space="preserve"> discussed</w:t>
      </w:r>
      <w:r>
        <w:rPr>
          <w:szCs w:val="22"/>
        </w:rPr>
        <w:t xml:space="preserve"> the impact of numerology on non CP-based wavefroms and make the following proposals:</w:t>
      </w:r>
    </w:p>
    <w:p w14:paraId="6EEBCA0C" w14:textId="77777777" w:rsidR="00EE70E9" w:rsidRDefault="00EE70E9" w:rsidP="00EE70E9">
      <w:pPr>
        <w:rPr>
          <w:i/>
          <w:szCs w:val="22"/>
          <w:lang w:eastAsia="sv-SE"/>
        </w:rPr>
      </w:pPr>
      <w:r w:rsidRPr="008D5C9E">
        <w:rPr>
          <w:b/>
          <w:i/>
          <w:szCs w:val="22"/>
          <w:u w:val="single"/>
          <w:lang w:eastAsia="sv-SE"/>
        </w:rPr>
        <w:t>Proposal 1:</w:t>
      </w:r>
      <w:r>
        <w:rPr>
          <w:i/>
          <w:szCs w:val="22"/>
          <w:lang w:eastAsia="sv-SE"/>
        </w:rPr>
        <w:t xml:space="preserve"> Modify the working assumption on adopting alternative 1 (LTE-based numerology) as baseline such that it is applicable to CP-based waveform only, </w:t>
      </w:r>
      <w:proofErr w:type="spellStart"/>
      <w:r>
        <w:rPr>
          <w:i/>
          <w:szCs w:val="22"/>
          <w:lang w:eastAsia="sv-SE"/>
        </w:rPr>
        <w:t>i.e</w:t>
      </w:r>
      <w:proofErr w:type="spellEnd"/>
    </w:p>
    <w:p w14:paraId="66B30ECA" w14:textId="77777777" w:rsidR="00EE70E9" w:rsidRPr="00746D51" w:rsidRDefault="00EE70E9" w:rsidP="00EE70E9">
      <w:pPr>
        <w:numPr>
          <w:ilvl w:val="0"/>
          <w:numId w:val="21"/>
        </w:numPr>
        <w:overflowPunct/>
        <w:autoSpaceDE/>
        <w:autoSpaceDN/>
        <w:adjustRightInd/>
        <w:spacing w:after="0"/>
        <w:jc w:val="left"/>
        <w:textAlignment w:val="auto"/>
        <w:rPr>
          <w:rFonts w:ascii="Times" w:eastAsia="Batang" w:hAnsi="Times"/>
          <w:i/>
          <w:sz w:val="20"/>
          <w:szCs w:val="24"/>
          <w:lang w:eastAsia="en-US"/>
        </w:rPr>
      </w:pPr>
      <w:r w:rsidRPr="00746D51">
        <w:rPr>
          <w:rFonts w:ascii="Times" w:eastAsia="Batang" w:hAnsi="Times"/>
          <w:i/>
          <w:sz w:val="20"/>
          <w:szCs w:val="24"/>
          <w:lang w:eastAsia="en-US"/>
        </w:rPr>
        <w:t>RAN1 concludes on alternative 1 (15 kHz</w:t>
      </w:r>
      <w:r>
        <w:rPr>
          <w:rFonts w:ascii="Times" w:eastAsia="Batang" w:hAnsi="Times"/>
          <w:i/>
          <w:sz w:val="20"/>
          <w:szCs w:val="24"/>
          <w:lang w:eastAsia="en-US"/>
        </w:rPr>
        <w:t xml:space="preserve"> with LTE-based numerology</w:t>
      </w:r>
      <w:r w:rsidRPr="00746D51">
        <w:rPr>
          <w:rFonts w:ascii="Times" w:eastAsia="Batang" w:hAnsi="Times"/>
          <w:i/>
          <w:sz w:val="20"/>
          <w:szCs w:val="24"/>
          <w:lang w:eastAsia="en-US"/>
        </w:rPr>
        <w:t xml:space="preserve">) as the baseline </w:t>
      </w:r>
      <w:r w:rsidRPr="00746D51">
        <w:rPr>
          <w:rFonts w:ascii="Times" w:eastAsia="MS Mincho" w:hAnsi="Times" w:hint="eastAsia"/>
          <w:i/>
          <w:sz w:val="20"/>
          <w:szCs w:val="24"/>
          <w:lang w:eastAsia="ja-JP"/>
        </w:rPr>
        <w:t xml:space="preserve">design assumption </w:t>
      </w:r>
      <w:r w:rsidRPr="00746D51">
        <w:rPr>
          <w:rFonts w:ascii="Times" w:eastAsia="Batang" w:hAnsi="Times"/>
          <w:i/>
          <w:sz w:val="20"/>
          <w:szCs w:val="24"/>
          <w:lang w:eastAsia="en-US"/>
        </w:rPr>
        <w:t>for the NR numerology</w:t>
      </w:r>
      <w:r>
        <w:rPr>
          <w:rFonts w:ascii="Times" w:eastAsia="Batang" w:hAnsi="Times"/>
          <w:i/>
          <w:sz w:val="20"/>
          <w:szCs w:val="24"/>
          <w:lang w:eastAsia="en-US"/>
        </w:rPr>
        <w:t xml:space="preserve"> applicable to CP-based waveform</w:t>
      </w:r>
    </w:p>
    <w:p w14:paraId="6C3374ED" w14:textId="77777777" w:rsidR="00EE70E9" w:rsidRDefault="00EE70E9" w:rsidP="00EE70E9">
      <w:pPr>
        <w:rPr>
          <w:b/>
          <w:i/>
          <w:szCs w:val="22"/>
          <w:u w:val="single"/>
          <w:lang w:eastAsia="sv-SE"/>
        </w:rPr>
      </w:pPr>
    </w:p>
    <w:p w14:paraId="2C6EAFEE" w14:textId="77777777" w:rsidR="00EE70E9" w:rsidRDefault="00EE70E9" w:rsidP="00EE70E9">
      <w:pPr>
        <w:rPr>
          <w:szCs w:val="22"/>
          <w:lang w:eastAsia="sv-SE"/>
        </w:rPr>
      </w:pPr>
      <w:r w:rsidRPr="008D5C9E">
        <w:rPr>
          <w:b/>
          <w:i/>
          <w:szCs w:val="22"/>
          <w:u w:val="single"/>
          <w:lang w:eastAsia="sv-SE"/>
        </w:rPr>
        <w:t>Proposal 2:</w:t>
      </w:r>
      <w:r>
        <w:rPr>
          <w:i/>
          <w:szCs w:val="22"/>
          <w:lang w:eastAsia="sv-SE"/>
        </w:rPr>
        <w:t xml:space="preserve"> In case the adoption of 15 kHz as basic subcarrier spacing is confirmed as baseline</w:t>
      </w:r>
    </w:p>
    <w:p w14:paraId="3B5F23A1" w14:textId="77777777" w:rsidR="00EE70E9" w:rsidRPr="00BD22FC" w:rsidRDefault="00EE70E9" w:rsidP="00BD22FC">
      <w:pPr>
        <w:numPr>
          <w:ilvl w:val="0"/>
          <w:numId w:val="21"/>
        </w:numPr>
        <w:overflowPunct/>
        <w:autoSpaceDE/>
        <w:autoSpaceDN/>
        <w:adjustRightInd/>
        <w:spacing w:after="0"/>
        <w:jc w:val="left"/>
        <w:textAlignment w:val="auto"/>
        <w:rPr>
          <w:rFonts w:eastAsia="MS Mincho"/>
          <w:i/>
          <w:lang w:val="en-US" w:eastAsia="ja-JP"/>
        </w:rPr>
      </w:pPr>
      <w:r w:rsidRPr="00EE70E9">
        <w:rPr>
          <w:rFonts w:eastAsia="MS Mincho"/>
          <w:i/>
          <w:lang w:val="en-US" w:eastAsia="ja-JP"/>
        </w:rPr>
        <w:t>The basic subcarrier spacing from which other v</w:t>
      </w:r>
      <w:proofErr w:type="spellStart"/>
      <w:r w:rsidRPr="00EE70E9">
        <w:rPr>
          <w:rFonts w:eastAsia="MS Mincho"/>
          <w:i/>
          <w:lang w:eastAsia="ja-JP"/>
        </w:rPr>
        <w:t>alues</w:t>
      </w:r>
      <w:proofErr w:type="spellEnd"/>
      <w:r w:rsidRPr="00EE70E9">
        <w:rPr>
          <w:rFonts w:eastAsia="MS Mincho"/>
          <w:i/>
          <w:lang w:eastAsia="ja-JP"/>
        </w:rPr>
        <w:t xml:space="preserve"> of subcarrier-spacing are derived for non-CP based waveform is 15 kHz</w:t>
      </w:r>
    </w:p>
    <w:p w14:paraId="0AB4EDF2" w14:textId="4BE6B17A" w:rsidR="00EE70E9" w:rsidRPr="00EE70E9" w:rsidRDefault="00EE70E9" w:rsidP="00BD22FC">
      <w:pPr>
        <w:numPr>
          <w:ilvl w:val="0"/>
          <w:numId w:val="21"/>
        </w:numPr>
        <w:overflowPunct/>
        <w:autoSpaceDE/>
        <w:autoSpaceDN/>
        <w:adjustRightInd/>
        <w:spacing w:after="0"/>
        <w:jc w:val="left"/>
        <w:textAlignment w:val="auto"/>
        <w:rPr>
          <w:rFonts w:eastAsia="MS Mincho"/>
          <w:i/>
          <w:lang w:val="en-US" w:eastAsia="ja-JP"/>
        </w:rPr>
      </w:pPr>
      <w:r w:rsidRPr="00EE70E9">
        <w:rPr>
          <w:rFonts w:eastAsia="MS Mincho"/>
          <w:i/>
          <w:lang w:val="en-US" w:eastAsia="ja-JP"/>
        </w:rPr>
        <w:t>No symbol alignment with LTE-based numerology is assumed</w:t>
      </w:r>
    </w:p>
    <w:p w14:paraId="0D199F9D" w14:textId="77777777" w:rsidR="00EE70E9" w:rsidRDefault="00EE70E9" w:rsidP="00EE70E9">
      <w:pPr>
        <w:rPr>
          <w:b/>
          <w:i/>
          <w:szCs w:val="22"/>
          <w:u w:val="single"/>
          <w:lang w:eastAsia="sv-SE"/>
        </w:rPr>
      </w:pPr>
    </w:p>
    <w:p w14:paraId="7A7E4D34" w14:textId="026E228A" w:rsidR="00746CE2" w:rsidRDefault="00327E85" w:rsidP="003242DD">
      <w:pPr>
        <w:rPr>
          <w:sz w:val="20"/>
        </w:rPr>
      </w:pPr>
      <w:r>
        <w:rPr>
          <w:b/>
          <w:i/>
          <w:szCs w:val="22"/>
          <w:u w:val="single"/>
          <w:lang w:eastAsia="sv-SE"/>
        </w:rPr>
        <w:t>Proposal 3</w:t>
      </w:r>
      <w:r w:rsidRPr="003E128F">
        <w:rPr>
          <w:b/>
          <w:i/>
          <w:szCs w:val="22"/>
          <w:u w:val="single"/>
          <w:lang w:eastAsia="sv-SE"/>
        </w:rPr>
        <w:t>:</w:t>
      </w:r>
      <w:r w:rsidRPr="003E128F">
        <w:rPr>
          <w:b/>
          <w:i/>
          <w:szCs w:val="22"/>
          <w:lang w:eastAsia="sv-SE"/>
        </w:rPr>
        <w:t xml:space="preserve"> </w:t>
      </w:r>
      <w:r w:rsidRPr="004C5253">
        <w:rPr>
          <w:i/>
          <w:szCs w:val="22"/>
          <w:lang w:eastAsia="sv-SE"/>
        </w:rPr>
        <w:t>1 msec alignment</w:t>
      </w:r>
      <w:r>
        <w:rPr>
          <w:i/>
          <w:szCs w:val="22"/>
          <w:lang w:eastAsia="sv-SE"/>
        </w:rPr>
        <w:t xml:space="preserve"> should not be extended to sub-carrier spacing values below 15 kHz.</w:t>
      </w:r>
    </w:p>
    <w:p w14:paraId="0EF7466D" w14:textId="77777777" w:rsidR="00251B4A" w:rsidRPr="00077CF3" w:rsidRDefault="00251B4A" w:rsidP="00251B4A">
      <w:pPr>
        <w:pStyle w:val="Heading1"/>
        <w:rPr>
          <w:sz w:val="32"/>
          <w:lang w:val="en-US"/>
        </w:rPr>
      </w:pPr>
      <w:r w:rsidRPr="00077CF3">
        <w:rPr>
          <w:sz w:val="32"/>
          <w:lang w:val="en-US"/>
        </w:rPr>
        <w:t>References</w:t>
      </w:r>
    </w:p>
    <w:p w14:paraId="59589324" w14:textId="04B0AE10" w:rsidR="00316786" w:rsidRDefault="00316786" w:rsidP="00316786">
      <w:pPr>
        <w:pStyle w:val="Reference"/>
      </w:pPr>
      <w:bookmarkStart w:id="2" w:name="_Ref457542852"/>
      <w:bookmarkStart w:id="3" w:name="_Ref455734493"/>
      <w:bookmarkStart w:id="4" w:name="_Ref434502751"/>
      <w:bookmarkStart w:id="5" w:name="_Ref419296613"/>
      <w:bookmarkStart w:id="6" w:name="_Ref434227915"/>
      <w:bookmarkStart w:id="7" w:name="_Ref434501473"/>
      <w:r>
        <w:t>C</w:t>
      </w:r>
      <w:r w:rsidRPr="002D3E40">
        <w:t>hairman’s Notes, 3GPP TSG-RAN WG1 #8</w:t>
      </w:r>
      <w:r>
        <w:t xml:space="preserve">4bis, </w:t>
      </w:r>
      <w:r w:rsidRPr="00316786">
        <w:rPr>
          <w:szCs w:val="22"/>
        </w:rPr>
        <w:t>11th - 15th April 2016</w:t>
      </w:r>
      <w:r>
        <w:rPr>
          <w:szCs w:val="22"/>
        </w:rPr>
        <w:t xml:space="preserve">, </w:t>
      </w:r>
      <w:r w:rsidRPr="00316786">
        <w:rPr>
          <w:szCs w:val="22"/>
        </w:rPr>
        <w:t>Busan, Korea</w:t>
      </w:r>
      <w:bookmarkEnd w:id="2"/>
    </w:p>
    <w:p w14:paraId="1CA3A936" w14:textId="1E0FEDB2" w:rsidR="00E246F8" w:rsidRPr="002D3E40" w:rsidRDefault="005266DD" w:rsidP="00324CE7">
      <w:pPr>
        <w:pStyle w:val="Reference"/>
        <w:rPr>
          <w:szCs w:val="22"/>
        </w:rPr>
      </w:pPr>
      <w:bookmarkStart w:id="8" w:name="_Ref457542858"/>
      <w:r w:rsidRPr="002D3E40">
        <w:rPr>
          <w:szCs w:val="22"/>
        </w:rPr>
        <w:t>Chairman’s Note</w:t>
      </w:r>
      <w:bookmarkEnd w:id="3"/>
      <w:r w:rsidRPr="002D3E40">
        <w:rPr>
          <w:szCs w:val="22"/>
        </w:rPr>
        <w:t>s</w:t>
      </w:r>
      <w:bookmarkEnd w:id="4"/>
      <w:bookmarkEnd w:id="5"/>
      <w:bookmarkEnd w:id="6"/>
      <w:bookmarkEnd w:id="7"/>
      <w:r w:rsidR="002D3E40" w:rsidRPr="002D3E40">
        <w:rPr>
          <w:szCs w:val="22"/>
        </w:rPr>
        <w:t>, 3GPP TSG-RAN WG1 #85, 23rd – 27th May 2016, Nanjing, China</w:t>
      </w:r>
      <w:bookmarkEnd w:id="8"/>
    </w:p>
    <w:p w14:paraId="04EC1100" w14:textId="5F555BBD" w:rsidR="00E11AD6" w:rsidRPr="00BA0F6E" w:rsidRDefault="00E11AD6" w:rsidP="00E11AD6">
      <w:pPr>
        <w:pStyle w:val="Reference"/>
      </w:pPr>
      <w:bookmarkStart w:id="9" w:name="_Ref456188349"/>
      <w:r w:rsidRPr="00E11AD6">
        <w:t>R1-165057</w:t>
      </w:r>
      <w:r>
        <w:t>,</w:t>
      </w:r>
      <w:r w:rsidRPr="00E11AD6">
        <w:tab/>
      </w:r>
      <w:r>
        <w:t>“</w:t>
      </w:r>
      <w:r w:rsidRPr="00E11AD6">
        <w:t>Performance Evaluation of UW DFT-S-OFDM for UL</w:t>
      </w:r>
      <w:r>
        <w:t xml:space="preserve">,” </w:t>
      </w:r>
      <w:proofErr w:type="spellStart"/>
      <w:r>
        <w:t>InterDigital</w:t>
      </w:r>
      <w:proofErr w:type="spellEnd"/>
      <w:r>
        <w:t xml:space="preserve"> Communications, </w:t>
      </w:r>
      <w:r w:rsidRPr="00415B56">
        <w:rPr>
          <w:szCs w:val="22"/>
        </w:rPr>
        <w:t>3GPP TSG-RAN WG1 #85</w:t>
      </w:r>
      <w:r>
        <w:rPr>
          <w:szCs w:val="22"/>
        </w:rPr>
        <w:t xml:space="preserve">, </w:t>
      </w:r>
      <w:r w:rsidRPr="00415B56">
        <w:rPr>
          <w:szCs w:val="22"/>
        </w:rPr>
        <w:t>23rd – 27th May 2016</w:t>
      </w:r>
      <w:r>
        <w:rPr>
          <w:szCs w:val="22"/>
        </w:rPr>
        <w:t xml:space="preserve">, </w:t>
      </w:r>
      <w:r w:rsidRPr="00415B56">
        <w:rPr>
          <w:szCs w:val="22"/>
        </w:rPr>
        <w:t>Nanjing, China</w:t>
      </w:r>
      <w:bookmarkEnd w:id="9"/>
    </w:p>
    <w:p w14:paraId="068EEF83" w14:textId="2274E9E6" w:rsidR="00BA0F6E" w:rsidRPr="00091C6F" w:rsidRDefault="00BA0F6E" w:rsidP="00325052">
      <w:pPr>
        <w:pStyle w:val="Reference"/>
      </w:pPr>
      <w:bookmarkStart w:id="10" w:name="_Ref457543179"/>
      <w:r w:rsidRPr="00BA0F6E">
        <w:t xml:space="preserve">R1-164028 “Link-level evaluation results for UW-DFT-s-OFDM”, </w:t>
      </w:r>
      <w:r w:rsidR="00325052" w:rsidRPr="00325052">
        <w:t>Mitsubishi Electric</w:t>
      </w:r>
      <w:r w:rsidR="00325052">
        <w:t>,</w:t>
      </w:r>
      <w:r w:rsidR="00325052" w:rsidRPr="00325052">
        <w:t xml:space="preserve"> </w:t>
      </w:r>
      <w:r w:rsidRPr="00BA0F6E">
        <w:t>3GPP TSG-RAN WG1 #85, Nanjing, China 23rd – 27th May 2016</w:t>
      </w:r>
      <w:bookmarkEnd w:id="10"/>
    </w:p>
    <w:p w14:paraId="673AF241" w14:textId="63B12D72" w:rsidR="004B5FF5" w:rsidRDefault="004B5FF5" w:rsidP="004B5FF5">
      <w:pPr>
        <w:pStyle w:val="Reference"/>
      </w:pPr>
      <w:bookmarkStart w:id="11" w:name="_Ref456188358"/>
      <w:r w:rsidRPr="004B5FF5">
        <w:t>R1-164176</w:t>
      </w:r>
      <w:r>
        <w:t>,</w:t>
      </w:r>
      <w:r w:rsidRPr="004B5FF5">
        <w:tab/>
      </w:r>
      <w:r>
        <w:t>“</w:t>
      </w:r>
      <w:r w:rsidRPr="004B5FF5">
        <w:t>Discussion on waveform for high frequency bands</w:t>
      </w:r>
      <w:r>
        <w:t xml:space="preserve">,” </w:t>
      </w:r>
      <w:r w:rsidRPr="004B5FF5">
        <w:t>Intel Corporation</w:t>
      </w:r>
      <w:r>
        <w:t xml:space="preserve">, </w:t>
      </w:r>
      <w:r w:rsidRPr="00415B56">
        <w:rPr>
          <w:szCs w:val="22"/>
        </w:rPr>
        <w:t>3GPP TSG-RAN WG1 #85</w:t>
      </w:r>
      <w:r>
        <w:rPr>
          <w:szCs w:val="22"/>
        </w:rPr>
        <w:t xml:space="preserve">, </w:t>
      </w:r>
      <w:r w:rsidRPr="00415B56">
        <w:rPr>
          <w:szCs w:val="22"/>
        </w:rPr>
        <w:t>23rd – 27th May 2016</w:t>
      </w:r>
      <w:r>
        <w:rPr>
          <w:szCs w:val="22"/>
        </w:rPr>
        <w:t xml:space="preserve">, </w:t>
      </w:r>
      <w:r w:rsidRPr="00415B56">
        <w:rPr>
          <w:szCs w:val="22"/>
        </w:rPr>
        <w:t>Nanjing, China</w:t>
      </w:r>
      <w:bookmarkEnd w:id="11"/>
    </w:p>
    <w:p w14:paraId="68AD5C77" w14:textId="2D005910" w:rsidR="00E11AD6" w:rsidRPr="00611209" w:rsidRDefault="00E11AD6" w:rsidP="00257F0E">
      <w:pPr>
        <w:pStyle w:val="Reference"/>
        <w:numPr>
          <w:ilvl w:val="0"/>
          <w:numId w:val="0"/>
        </w:numPr>
      </w:pPr>
      <w:bookmarkStart w:id="12" w:name="_Ref456188368"/>
      <w:proofErr w:type="spellStart"/>
      <w:r w:rsidRPr="00E11AD6">
        <w:t>Berardinelli</w:t>
      </w:r>
      <w:proofErr w:type="spellEnd"/>
      <w:r w:rsidRPr="00E11AD6">
        <w:t xml:space="preserve">, G.; Tavares, F.M.L.; Sorensen, T.B.; </w:t>
      </w:r>
      <w:proofErr w:type="spellStart"/>
      <w:r w:rsidRPr="00E11AD6">
        <w:t>Mogensen</w:t>
      </w:r>
      <w:proofErr w:type="spellEnd"/>
      <w:r w:rsidRPr="00E11AD6">
        <w:t xml:space="preserve">, P.; </w:t>
      </w:r>
      <w:proofErr w:type="spellStart"/>
      <w:r w:rsidRPr="00E11AD6">
        <w:t>Pajukoski</w:t>
      </w:r>
      <w:proofErr w:type="spellEnd"/>
      <w:r w:rsidRPr="00E11AD6">
        <w:t xml:space="preserve">, K., "Zero-tail DFT-spread-OFDM signals," IEEE </w:t>
      </w:r>
      <w:proofErr w:type="spellStart"/>
      <w:r w:rsidRPr="00E11AD6">
        <w:t>Globecom</w:t>
      </w:r>
      <w:proofErr w:type="spellEnd"/>
      <w:r w:rsidRPr="00E11AD6">
        <w:t xml:space="preserve"> Workshops, pp.229,234, 9-13 Dec. 2013</w:t>
      </w:r>
      <w:bookmarkStart w:id="13" w:name="_GoBack"/>
      <w:bookmarkEnd w:id="12"/>
      <w:bookmarkEnd w:id="13"/>
    </w:p>
    <w:sectPr w:rsidR="00E11AD6" w:rsidRPr="00611209" w:rsidSect="00D55085">
      <w:footerReference w:type="defaul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D07683" w14:textId="77777777" w:rsidR="00CF6BC2" w:rsidRDefault="00CF6BC2">
      <w:r>
        <w:separator/>
      </w:r>
    </w:p>
  </w:endnote>
  <w:endnote w:type="continuationSeparator" w:id="0">
    <w:p w14:paraId="6448F9F8" w14:textId="77777777" w:rsidR="00CF6BC2" w:rsidRDefault="00CF6BC2">
      <w:r>
        <w:continuationSeparator/>
      </w:r>
    </w:p>
  </w:endnote>
  <w:endnote w:type="continuationNotice" w:id="1">
    <w:p w14:paraId="51F320B0" w14:textId="77777777" w:rsidR="00CF6BC2" w:rsidRDefault="00CF6B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18A0AD79" w:rsidR="00F67C3D" w:rsidRDefault="00F67C3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816F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816F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892FF2" w14:textId="77777777" w:rsidR="00CF6BC2" w:rsidRDefault="00CF6BC2">
      <w:r>
        <w:separator/>
      </w:r>
    </w:p>
  </w:footnote>
  <w:footnote w:type="continuationSeparator" w:id="0">
    <w:p w14:paraId="3A59268B" w14:textId="77777777" w:rsidR="00CF6BC2" w:rsidRDefault="00CF6BC2">
      <w:r>
        <w:continuationSeparator/>
      </w:r>
    </w:p>
  </w:footnote>
  <w:footnote w:type="continuationNotice" w:id="1">
    <w:p w14:paraId="710E82B9" w14:textId="77777777" w:rsidR="00CF6BC2" w:rsidRDefault="00CF6BC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E3310B"/>
    <w:multiLevelType w:val="hybridMultilevel"/>
    <w:tmpl w:val="6D9ED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93C14"/>
    <w:multiLevelType w:val="hybridMultilevel"/>
    <w:tmpl w:val="2C16CFFA"/>
    <w:lvl w:ilvl="0" w:tplc="F3CEE38E">
      <w:numFmt w:val="bullet"/>
      <w:lvlText w:val="•"/>
      <w:lvlJc w:val="left"/>
      <w:pPr>
        <w:ind w:left="930" w:hanging="57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B4614"/>
    <w:multiLevelType w:val="hybridMultilevel"/>
    <w:tmpl w:val="70B42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5C2E35"/>
    <w:multiLevelType w:val="hybridMultilevel"/>
    <w:tmpl w:val="BAD4DCE2"/>
    <w:lvl w:ilvl="0" w:tplc="461629E8">
      <w:start w:val="1"/>
      <w:numFmt w:val="bullet"/>
      <w:lvlText w:val="•"/>
      <w:lvlJc w:val="left"/>
      <w:pPr>
        <w:tabs>
          <w:tab w:val="num" w:pos="720"/>
        </w:tabs>
        <w:ind w:left="720" w:hanging="360"/>
      </w:pPr>
      <w:rPr>
        <w:rFonts w:ascii="Arial" w:hAnsi="Arial" w:hint="default"/>
      </w:rPr>
    </w:lvl>
    <w:lvl w:ilvl="1" w:tplc="0864202E">
      <w:start w:val="1132"/>
      <w:numFmt w:val="bullet"/>
      <w:lvlText w:val="•"/>
      <w:lvlJc w:val="left"/>
      <w:pPr>
        <w:tabs>
          <w:tab w:val="num" w:pos="1440"/>
        </w:tabs>
        <w:ind w:left="1440" w:hanging="360"/>
      </w:pPr>
      <w:rPr>
        <w:rFonts w:ascii="Arial" w:hAnsi="Arial" w:hint="default"/>
      </w:rPr>
    </w:lvl>
    <w:lvl w:ilvl="2" w:tplc="0FE41666" w:tentative="1">
      <w:start w:val="1"/>
      <w:numFmt w:val="bullet"/>
      <w:lvlText w:val="•"/>
      <w:lvlJc w:val="left"/>
      <w:pPr>
        <w:tabs>
          <w:tab w:val="num" w:pos="2160"/>
        </w:tabs>
        <w:ind w:left="2160" w:hanging="360"/>
      </w:pPr>
      <w:rPr>
        <w:rFonts w:ascii="Arial" w:hAnsi="Arial" w:hint="default"/>
      </w:rPr>
    </w:lvl>
    <w:lvl w:ilvl="3" w:tplc="88F0D4EE" w:tentative="1">
      <w:start w:val="1"/>
      <w:numFmt w:val="bullet"/>
      <w:lvlText w:val="•"/>
      <w:lvlJc w:val="left"/>
      <w:pPr>
        <w:tabs>
          <w:tab w:val="num" w:pos="2880"/>
        </w:tabs>
        <w:ind w:left="2880" w:hanging="360"/>
      </w:pPr>
      <w:rPr>
        <w:rFonts w:ascii="Arial" w:hAnsi="Arial" w:hint="default"/>
      </w:rPr>
    </w:lvl>
    <w:lvl w:ilvl="4" w:tplc="44DC0784" w:tentative="1">
      <w:start w:val="1"/>
      <w:numFmt w:val="bullet"/>
      <w:lvlText w:val="•"/>
      <w:lvlJc w:val="left"/>
      <w:pPr>
        <w:tabs>
          <w:tab w:val="num" w:pos="3600"/>
        </w:tabs>
        <w:ind w:left="3600" w:hanging="360"/>
      </w:pPr>
      <w:rPr>
        <w:rFonts w:ascii="Arial" w:hAnsi="Arial" w:hint="default"/>
      </w:rPr>
    </w:lvl>
    <w:lvl w:ilvl="5" w:tplc="C4987BE2" w:tentative="1">
      <w:start w:val="1"/>
      <w:numFmt w:val="bullet"/>
      <w:lvlText w:val="•"/>
      <w:lvlJc w:val="left"/>
      <w:pPr>
        <w:tabs>
          <w:tab w:val="num" w:pos="4320"/>
        </w:tabs>
        <w:ind w:left="4320" w:hanging="360"/>
      </w:pPr>
      <w:rPr>
        <w:rFonts w:ascii="Arial" w:hAnsi="Arial" w:hint="default"/>
      </w:rPr>
    </w:lvl>
    <w:lvl w:ilvl="6" w:tplc="E99223BC" w:tentative="1">
      <w:start w:val="1"/>
      <w:numFmt w:val="bullet"/>
      <w:lvlText w:val="•"/>
      <w:lvlJc w:val="left"/>
      <w:pPr>
        <w:tabs>
          <w:tab w:val="num" w:pos="5040"/>
        </w:tabs>
        <w:ind w:left="5040" w:hanging="360"/>
      </w:pPr>
      <w:rPr>
        <w:rFonts w:ascii="Arial" w:hAnsi="Arial" w:hint="default"/>
      </w:rPr>
    </w:lvl>
    <w:lvl w:ilvl="7" w:tplc="69848B9C" w:tentative="1">
      <w:start w:val="1"/>
      <w:numFmt w:val="bullet"/>
      <w:lvlText w:val="•"/>
      <w:lvlJc w:val="left"/>
      <w:pPr>
        <w:tabs>
          <w:tab w:val="num" w:pos="5760"/>
        </w:tabs>
        <w:ind w:left="5760" w:hanging="360"/>
      </w:pPr>
      <w:rPr>
        <w:rFonts w:ascii="Arial" w:hAnsi="Arial" w:hint="default"/>
      </w:rPr>
    </w:lvl>
    <w:lvl w:ilvl="8" w:tplc="5D084F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141EA5"/>
    <w:multiLevelType w:val="hybridMultilevel"/>
    <w:tmpl w:val="85102B42"/>
    <w:lvl w:ilvl="0" w:tplc="F3CEE38E">
      <w:numFmt w:val="bullet"/>
      <w:lvlText w:val="•"/>
      <w:lvlJc w:val="left"/>
      <w:pPr>
        <w:ind w:left="930" w:hanging="57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12"/>
  </w:num>
  <w:num w:numId="4">
    <w:abstractNumId w:val="13"/>
  </w:num>
  <w:num w:numId="5">
    <w:abstractNumId w:val="9"/>
  </w:num>
  <w:num w:numId="6">
    <w:abstractNumId w:val="14"/>
  </w:num>
  <w:num w:numId="7">
    <w:abstractNumId w:val="17"/>
  </w:num>
  <w:num w:numId="8">
    <w:abstractNumId w:val="10"/>
  </w:num>
  <w:num w:numId="9">
    <w:abstractNumId w:val="20"/>
  </w:num>
  <w:num w:numId="10">
    <w:abstractNumId w:val="5"/>
  </w:num>
  <w:num w:numId="11">
    <w:abstractNumId w:val="2"/>
  </w:num>
  <w:num w:numId="12">
    <w:abstractNumId w:val="15"/>
  </w:num>
  <w:num w:numId="13">
    <w:abstractNumId w:val="19"/>
  </w:num>
  <w:num w:numId="14">
    <w:abstractNumId w:val="4"/>
  </w:num>
  <w:num w:numId="15">
    <w:abstractNumId w:val="0"/>
  </w:num>
  <w:num w:numId="16">
    <w:abstractNumId w:val="6"/>
  </w:num>
  <w:num w:numId="17">
    <w:abstractNumId w:val="18"/>
  </w:num>
  <w:num w:numId="18">
    <w:abstractNumId w:val="3"/>
  </w:num>
  <w:num w:numId="19">
    <w:abstractNumId w:val="1"/>
  </w:num>
  <w:num w:numId="20">
    <w:abstractNumId w:val="7"/>
  </w:num>
  <w:num w:numId="21">
    <w:abstractNumId w:val="11"/>
  </w:num>
  <w:num w:numId="2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0F2"/>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1C6F"/>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6848"/>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906"/>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566"/>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0CAE"/>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B97"/>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0BF6"/>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6F99"/>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5D"/>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4B7"/>
    <w:rsid w:val="002A37EE"/>
    <w:rsid w:val="002A3FC3"/>
    <w:rsid w:val="002A4063"/>
    <w:rsid w:val="002A4C62"/>
    <w:rsid w:val="002A4CC1"/>
    <w:rsid w:val="002A5F35"/>
    <w:rsid w:val="002A6158"/>
    <w:rsid w:val="002A6CFF"/>
    <w:rsid w:val="002A6FF8"/>
    <w:rsid w:val="002A7683"/>
    <w:rsid w:val="002B24D6"/>
    <w:rsid w:val="002B2726"/>
    <w:rsid w:val="002B2C00"/>
    <w:rsid w:val="002B3A7C"/>
    <w:rsid w:val="002B3B0D"/>
    <w:rsid w:val="002B3FE9"/>
    <w:rsid w:val="002B6D00"/>
    <w:rsid w:val="002B6FA2"/>
    <w:rsid w:val="002B77BF"/>
    <w:rsid w:val="002C0976"/>
    <w:rsid w:val="002C1174"/>
    <w:rsid w:val="002C151A"/>
    <w:rsid w:val="002C1C03"/>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3E40"/>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B85"/>
    <w:rsid w:val="00312C0A"/>
    <w:rsid w:val="00313FD6"/>
    <w:rsid w:val="003143BD"/>
    <w:rsid w:val="003153C1"/>
    <w:rsid w:val="00316786"/>
    <w:rsid w:val="00320177"/>
    <w:rsid w:val="003203ED"/>
    <w:rsid w:val="0032130F"/>
    <w:rsid w:val="00322820"/>
    <w:rsid w:val="00322C9F"/>
    <w:rsid w:val="003233E6"/>
    <w:rsid w:val="00324135"/>
    <w:rsid w:val="003242DD"/>
    <w:rsid w:val="00324AA1"/>
    <w:rsid w:val="00324CE7"/>
    <w:rsid w:val="00324D23"/>
    <w:rsid w:val="00325052"/>
    <w:rsid w:val="00325768"/>
    <w:rsid w:val="00325884"/>
    <w:rsid w:val="00325F35"/>
    <w:rsid w:val="003260A9"/>
    <w:rsid w:val="00327E85"/>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59F5"/>
    <w:rsid w:val="00356081"/>
    <w:rsid w:val="00357380"/>
    <w:rsid w:val="00360259"/>
    <w:rsid w:val="003602D9"/>
    <w:rsid w:val="00360AEE"/>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16F8"/>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6B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2CD"/>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5B6"/>
    <w:rsid w:val="0041078A"/>
    <w:rsid w:val="00410B72"/>
    <w:rsid w:val="00410C9B"/>
    <w:rsid w:val="00410F18"/>
    <w:rsid w:val="00411B1A"/>
    <w:rsid w:val="0041258E"/>
    <w:rsid w:val="0041263E"/>
    <w:rsid w:val="0041384A"/>
    <w:rsid w:val="00413AAC"/>
    <w:rsid w:val="00414AB1"/>
    <w:rsid w:val="00414C64"/>
    <w:rsid w:val="00415B56"/>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27FAA"/>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1F2"/>
    <w:rsid w:val="004A76A0"/>
    <w:rsid w:val="004A7D0F"/>
    <w:rsid w:val="004B0802"/>
    <w:rsid w:val="004B0840"/>
    <w:rsid w:val="004B0924"/>
    <w:rsid w:val="004B09DB"/>
    <w:rsid w:val="004B0BE0"/>
    <w:rsid w:val="004B1049"/>
    <w:rsid w:val="004B1CFE"/>
    <w:rsid w:val="004B1DB8"/>
    <w:rsid w:val="004B2F6C"/>
    <w:rsid w:val="004B4459"/>
    <w:rsid w:val="004B44CE"/>
    <w:rsid w:val="004B4593"/>
    <w:rsid w:val="004B5FF5"/>
    <w:rsid w:val="004B74E1"/>
    <w:rsid w:val="004B7C0C"/>
    <w:rsid w:val="004C0051"/>
    <w:rsid w:val="004C0C9D"/>
    <w:rsid w:val="004C1260"/>
    <w:rsid w:val="004C1E01"/>
    <w:rsid w:val="004C23B1"/>
    <w:rsid w:val="004C23BA"/>
    <w:rsid w:val="004C2B95"/>
    <w:rsid w:val="004C3216"/>
    <w:rsid w:val="004C3898"/>
    <w:rsid w:val="004C3B35"/>
    <w:rsid w:val="004C3C55"/>
    <w:rsid w:val="004C4662"/>
    <w:rsid w:val="004C5253"/>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2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6700"/>
    <w:rsid w:val="004F735E"/>
    <w:rsid w:val="00500B52"/>
    <w:rsid w:val="005011FB"/>
    <w:rsid w:val="0050268E"/>
    <w:rsid w:val="0050318E"/>
    <w:rsid w:val="00503702"/>
    <w:rsid w:val="00504512"/>
    <w:rsid w:val="00504D78"/>
    <w:rsid w:val="00506557"/>
    <w:rsid w:val="0050677A"/>
    <w:rsid w:val="00506849"/>
    <w:rsid w:val="00506D5C"/>
    <w:rsid w:val="00507194"/>
    <w:rsid w:val="005078F0"/>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101D"/>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E72BA"/>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606"/>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C9C"/>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19E"/>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5B1"/>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A7"/>
    <w:rsid w:val="006878E0"/>
    <w:rsid w:val="006906DB"/>
    <w:rsid w:val="00691A2E"/>
    <w:rsid w:val="006921F6"/>
    <w:rsid w:val="006929B2"/>
    <w:rsid w:val="00692C29"/>
    <w:rsid w:val="00692E40"/>
    <w:rsid w:val="006931AC"/>
    <w:rsid w:val="006936AE"/>
    <w:rsid w:val="00694727"/>
    <w:rsid w:val="0069594C"/>
    <w:rsid w:val="00695A30"/>
    <w:rsid w:val="00695C71"/>
    <w:rsid w:val="00695FC2"/>
    <w:rsid w:val="006962FB"/>
    <w:rsid w:val="00696949"/>
    <w:rsid w:val="00697052"/>
    <w:rsid w:val="006972AF"/>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699"/>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7B9"/>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7C5"/>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3755"/>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A7217"/>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A5F"/>
    <w:rsid w:val="007D6C7C"/>
    <w:rsid w:val="007D7526"/>
    <w:rsid w:val="007E2511"/>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BD5"/>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A7E87"/>
    <w:rsid w:val="008B0483"/>
    <w:rsid w:val="008B120C"/>
    <w:rsid w:val="008B2932"/>
    <w:rsid w:val="008B45A3"/>
    <w:rsid w:val="008B4B9C"/>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28F"/>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1F0E"/>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0D"/>
    <w:rsid w:val="0096430A"/>
    <w:rsid w:val="00964464"/>
    <w:rsid w:val="0096475B"/>
    <w:rsid w:val="0096554B"/>
    <w:rsid w:val="0096584A"/>
    <w:rsid w:val="00965A4F"/>
    <w:rsid w:val="00965BD7"/>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50E"/>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C7BBF"/>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35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2139"/>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37B0"/>
    <w:rsid w:val="00A54350"/>
    <w:rsid w:val="00A55EE6"/>
    <w:rsid w:val="00A56674"/>
    <w:rsid w:val="00A601E5"/>
    <w:rsid w:val="00A60DBF"/>
    <w:rsid w:val="00A6126F"/>
    <w:rsid w:val="00A61499"/>
    <w:rsid w:val="00A62703"/>
    <w:rsid w:val="00A62C1F"/>
    <w:rsid w:val="00A63483"/>
    <w:rsid w:val="00A63D6A"/>
    <w:rsid w:val="00A647D1"/>
    <w:rsid w:val="00A64DD4"/>
    <w:rsid w:val="00A65943"/>
    <w:rsid w:val="00A660AC"/>
    <w:rsid w:val="00A66720"/>
    <w:rsid w:val="00A66821"/>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DC2"/>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0BE5"/>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04E0"/>
    <w:rsid w:val="00B7285B"/>
    <w:rsid w:val="00B72868"/>
    <w:rsid w:val="00B7331C"/>
    <w:rsid w:val="00B73583"/>
    <w:rsid w:val="00B739F6"/>
    <w:rsid w:val="00B76D2A"/>
    <w:rsid w:val="00B777F2"/>
    <w:rsid w:val="00B77FFB"/>
    <w:rsid w:val="00B81A7B"/>
    <w:rsid w:val="00B81FF6"/>
    <w:rsid w:val="00B8209E"/>
    <w:rsid w:val="00B82F42"/>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0F6E"/>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BEE"/>
    <w:rsid w:val="00BB6E21"/>
    <w:rsid w:val="00BB703C"/>
    <w:rsid w:val="00BC0979"/>
    <w:rsid w:val="00BC0BC7"/>
    <w:rsid w:val="00BC0CE6"/>
    <w:rsid w:val="00BC0F31"/>
    <w:rsid w:val="00BC0FC0"/>
    <w:rsid w:val="00BC0FDC"/>
    <w:rsid w:val="00BC1353"/>
    <w:rsid w:val="00BC1A21"/>
    <w:rsid w:val="00BC4D2E"/>
    <w:rsid w:val="00BC4E54"/>
    <w:rsid w:val="00BC74D1"/>
    <w:rsid w:val="00BC7BCF"/>
    <w:rsid w:val="00BD0073"/>
    <w:rsid w:val="00BD22FC"/>
    <w:rsid w:val="00BD379E"/>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A49"/>
    <w:rsid w:val="00C52B72"/>
    <w:rsid w:val="00C537C2"/>
    <w:rsid w:val="00C53AD2"/>
    <w:rsid w:val="00C53FA7"/>
    <w:rsid w:val="00C54995"/>
    <w:rsid w:val="00C54D41"/>
    <w:rsid w:val="00C55464"/>
    <w:rsid w:val="00C55D80"/>
    <w:rsid w:val="00C55E1C"/>
    <w:rsid w:val="00C57290"/>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C6F"/>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6BC2"/>
    <w:rsid w:val="00CF743E"/>
    <w:rsid w:val="00D018A7"/>
    <w:rsid w:val="00D01A7D"/>
    <w:rsid w:val="00D01D27"/>
    <w:rsid w:val="00D02803"/>
    <w:rsid w:val="00D0349B"/>
    <w:rsid w:val="00D04EAA"/>
    <w:rsid w:val="00D05A48"/>
    <w:rsid w:val="00D05C14"/>
    <w:rsid w:val="00D0634C"/>
    <w:rsid w:val="00D06D04"/>
    <w:rsid w:val="00D07567"/>
    <w:rsid w:val="00D077BB"/>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1A5"/>
    <w:rsid w:val="00D27938"/>
    <w:rsid w:val="00D27BE2"/>
    <w:rsid w:val="00D27DA6"/>
    <w:rsid w:val="00D30A1E"/>
    <w:rsid w:val="00D3122B"/>
    <w:rsid w:val="00D32001"/>
    <w:rsid w:val="00D32390"/>
    <w:rsid w:val="00D324BC"/>
    <w:rsid w:val="00D32F1F"/>
    <w:rsid w:val="00D341A0"/>
    <w:rsid w:val="00D3467D"/>
    <w:rsid w:val="00D352F6"/>
    <w:rsid w:val="00D36E71"/>
    <w:rsid w:val="00D37053"/>
    <w:rsid w:val="00D3771F"/>
    <w:rsid w:val="00D37D87"/>
    <w:rsid w:val="00D40532"/>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6E06"/>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0C89"/>
    <w:rsid w:val="00DB19A3"/>
    <w:rsid w:val="00DB27F9"/>
    <w:rsid w:val="00DB377D"/>
    <w:rsid w:val="00DB50C5"/>
    <w:rsid w:val="00DB59AD"/>
    <w:rsid w:val="00DB6054"/>
    <w:rsid w:val="00DB6E10"/>
    <w:rsid w:val="00DB6FD5"/>
    <w:rsid w:val="00DC0BB6"/>
    <w:rsid w:val="00DC112E"/>
    <w:rsid w:val="00DC1307"/>
    <w:rsid w:val="00DC2D36"/>
    <w:rsid w:val="00DC3D86"/>
    <w:rsid w:val="00DC4F13"/>
    <w:rsid w:val="00DC53EF"/>
    <w:rsid w:val="00DC5E99"/>
    <w:rsid w:val="00DC5FB3"/>
    <w:rsid w:val="00DC6129"/>
    <w:rsid w:val="00DC631A"/>
    <w:rsid w:val="00DC6DC7"/>
    <w:rsid w:val="00DD017F"/>
    <w:rsid w:val="00DD126B"/>
    <w:rsid w:val="00DD15B1"/>
    <w:rsid w:val="00DD1AE7"/>
    <w:rsid w:val="00DD3166"/>
    <w:rsid w:val="00DD3666"/>
    <w:rsid w:val="00DD3A6E"/>
    <w:rsid w:val="00DD6064"/>
    <w:rsid w:val="00DD698D"/>
    <w:rsid w:val="00DD72E3"/>
    <w:rsid w:val="00DD7666"/>
    <w:rsid w:val="00DD781B"/>
    <w:rsid w:val="00DD7E10"/>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699"/>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6269"/>
    <w:rsid w:val="00E07799"/>
    <w:rsid w:val="00E10E81"/>
    <w:rsid w:val="00E110E7"/>
    <w:rsid w:val="00E11AD6"/>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4E9C"/>
    <w:rsid w:val="00E4545A"/>
    <w:rsid w:val="00E46886"/>
    <w:rsid w:val="00E47AEF"/>
    <w:rsid w:val="00E512D9"/>
    <w:rsid w:val="00E517C3"/>
    <w:rsid w:val="00E5219A"/>
    <w:rsid w:val="00E52E5E"/>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B"/>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A3"/>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487"/>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0E9"/>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5F3A"/>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281E"/>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3E31"/>
    <w:rsid w:val="00F54253"/>
    <w:rsid w:val="00F5450F"/>
    <w:rsid w:val="00F54D17"/>
    <w:rsid w:val="00F54F08"/>
    <w:rsid w:val="00F55C20"/>
    <w:rsid w:val="00F55D60"/>
    <w:rsid w:val="00F570BF"/>
    <w:rsid w:val="00F57485"/>
    <w:rsid w:val="00F57752"/>
    <w:rsid w:val="00F607C5"/>
    <w:rsid w:val="00F60DEA"/>
    <w:rsid w:val="00F61363"/>
    <w:rsid w:val="00F6302A"/>
    <w:rsid w:val="00F63225"/>
    <w:rsid w:val="00F63838"/>
    <w:rsid w:val="00F643D1"/>
    <w:rsid w:val="00F64C2B"/>
    <w:rsid w:val="00F64DC0"/>
    <w:rsid w:val="00F651BE"/>
    <w:rsid w:val="00F65729"/>
    <w:rsid w:val="00F65F27"/>
    <w:rsid w:val="00F67C3D"/>
    <w:rsid w:val="00F67E37"/>
    <w:rsid w:val="00F67F53"/>
    <w:rsid w:val="00F70104"/>
    <w:rsid w:val="00F703BE"/>
    <w:rsid w:val="00F71F69"/>
    <w:rsid w:val="00F72B72"/>
    <w:rsid w:val="00F73595"/>
    <w:rsid w:val="00F74392"/>
    <w:rsid w:val="00F745E4"/>
    <w:rsid w:val="00F74BB9"/>
    <w:rsid w:val="00F75582"/>
    <w:rsid w:val="00F755A8"/>
    <w:rsid w:val="00F75791"/>
    <w:rsid w:val="00F75A12"/>
    <w:rsid w:val="00F75A6C"/>
    <w:rsid w:val="00F76EFA"/>
    <w:rsid w:val="00F771F2"/>
    <w:rsid w:val="00F800BF"/>
    <w:rsid w:val="00F804BE"/>
    <w:rsid w:val="00F80F50"/>
    <w:rsid w:val="00F817CE"/>
    <w:rsid w:val="00F81DA0"/>
    <w:rsid w:val="00F82D94"/>
    <w:rsid w:val="00F82FBC"/>
    <w:rsid w:val="00F8345A"/>
    <w:rsid w:val="00F838AE"/>
    <w:rsid w:val="00F8456C"/>
    <w:rsid w:val="00F84E2D"/>
    <w:rsid w:val="00F859D8"/>
    <w:rsid w:val="00F85F8F"/>
    <w:rsid w:val="00F86516"/>
    <w:rsid w:val="00F868F5"/>
    <w:rsid w:val="00F872AD"/>
    <w:rsid w:val="00F874F0"/>
    <w:rsid w:val="00F8799A"/>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2A34B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2.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DC0E1-1830-4FE0-A486-11EECAA94C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9D13E346-834B-4948-ACC8-39A66CEFB9CB}">
  <ds:schemaRefs>
    <ds:schemaRef ds:uri="http://purl.org/dc/elements/1.1/"/>
    <ds:schemaRef ds:uri="http://www.w3.org/XML/1998/namespace"/>
    <ds:schemaRef ds:uri="http://schemas.openxmlformats.org/package/2006/metadata/core-properties"/>
    <ds:schemaRef ds:uri="http://schemas.microsoft.com/office/2006/documentManagement/types"/>
    <ds:schemaRef ds:uri="http://schemas.microsoft.com/office/2006/metadata/properties"/>
    <ds:schemaRef ds:uri="http://purl.org/dc/dcmitype/"/>
    <ds:schemaRef ds:uri="http://purl.org/dc/terms/"/>
  </ds:schemaRefs>
</ds:datastoreItem>
</file>

<file path=customXml/itemProps5.xml><?xml version="1.0" encoding="utf-8"?>
<ds:datastoreItem xmlns:ds="http://schemas.openxmlformats.org/officeDocument/2006/customXml" ds:itemID="{5EF63383-8AE1-4131-826C-0A5243358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1081</TotalTime>
  <Pages>3</Pages>
  <Words>1124</Words>
  <Characters>6426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7535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22</cp:revision>
  <cp:lastPrinted>2014-08-07T20:35:00Z</cp:lastPrinted>
  <dcterms:created xsi:type="dcterms:W3CDTF">2016-07-14T20:54:00Z</dcterms:created>
  <dcterms:modified xsi:type="dcterms:W3CDTF">2016-08-11T22:51:00Z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